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D82" w:rsidRDefault="00761D82">
      <w:pPr>
        <w:rPr>
          <w:b/>
        </w:rPr>
      </w:pPr>
    </w:p>
    <w:p w:rsidR="00761D82" w:rsidRDefault="00761D82">
      <w:pPr>
        <w:rPr>
          <w:b/>
        </w:rPr>
      </w:pPr>
    </w:p>
    <w:p w:rsidR="00761D82" w:rsidRDefault="00761D82">
      <w:pPr>
        <w:rPr>
          <w:b/>
        </w:rPr>
      </w:pPr>
    </w:p>
    <w:p w:rsidR="00761D82" w:rsidRDefault="00761D82">
      <w:pPr>
        <w:rPr>
          <w:b/>
        </w:rPr>
      </w:pPr>
    </w:p>
    <w:p w:rsidR="00761D82" w:rsidRDefault="00761D82">
      <w:pPr>
        <w:rPr>
          <w:b/>
        </w:rPr>
      </w:pPr>
    </w:p>
    <w:p w:rsidR="00761D82" w:rsidRDefault="00761D82">
      <w:pPr>
        <w:rPr>
          <w:b/>
        </w:rPr>
      </w:pPr>
    </w:p>
    <w:p w:rsidR="00392D80" w:rsidRDefault="00BE324D" w:rsidP="00392D80">
      <w:pPr>
        <w:jc w:val="center"/>
        <w:rPr>
          <w:b/>
        </w:rPr>
      </w:pPr>
      <w:r>
        <w:rPr>
          <w:b/>
        </w:rPr>
        <w:t>CAPCANA LICHIDITĂȚII, RELAXĂRI CANTITATIVE, DEMOCRAȚIE ȘI INDEPENDENȚA BĂNCII CENTRALE</w:t>
      </w:r>
    </w:p>
    <w:p w:rsidR="00761D82" w:rsidRDefault="00BB6516" w:rsidP="00392D80">
      <w:pPr>
        <w:jc w:val="center"/>
        <w:rPr>
          <w:b/>
        </w:rPr>
      </w:pPr>
      <w:r>
        <w:rPr>
          <w:b/>
        </w:rPr>
        <w:t>(preliminar)</w:t>
      </w:r>
    </w:p>
    <w:p w:rsidR="00761D82" w:rsidRDefault="00761D82">
      <w:pPr>
        <w:rPr>
          <w:b/>
        </w:rPr>
      </w:pPr>
    </w:p>
    <w:p w:rsidR="00761D82" w:rsidRDefault="00761D82">
      <w:pPr>
        <w:rPr>
          <w:b/>
        </w:rPr>
      </w:pPr>
    </w:p>
    <w:p w:rsidR="00761D82" w:rsidRDefault="00761D82">
      <w:pPr>
        <w:rPr>
          <w:b/>
        </w:rPr>
      </w:pPr>
    </w:p>
    <w:p w:rsidR="00761D82" w:rsidRDefault="00761D82">
      <w:pPr>
        <w:rPr>
          <w:b/>
        </w:rPr>
      </w:pPr>
    </w:p>
    <w:p w:rsidR="00761D82" w:rsidRDefault="00761D82" w:rsidP="00FE5910">
      <w:pPr>
        <w:jc w:val="center"/>
      </w:pPr>
      <w:r w:rsidRPr="00761D82">
        <w:t>Lucian Croitoru</w:t>
      </w:r>
    </w:p>
    <w:p w:rsidR="00761D82" w:rsidRDefault="00761D82" w:rsidP="00FE5910">
      <w:pPr>
        <w:jc w:val="center"/>
      </w:pPr>
    </w:p>
    <w:p w:rsidR="00761D82" w:rsidRDefault="00761D82" w:rsidP="00FE5910">
      <w:pPr>
        <w:jc w:val="center"/>
      </w:pPr>
    </w:p>
    <w:p w:rsidR="00761D82" w:rsidRPr="00761D82" w:rsidRDefault="00CC0C4A" w:rsidP="00FE5910">
      <w:pPr>
        <w:jc w:val="center"/>
      </w:pPr>
      <w:r>
        <w:t>Ianuarie</w:t>
      </w:r>
      <w:r w:rsidR="006B7A10">
        <w:t xml:space="preserve"> 2013</w:t>
      </w:r>
      <w:bookmarkStart w:id="0" w:name="_GoBack"/>
      <w:bookmarkEnd w:id="0"/>
      <w:r w:rsidR="00761D82" w:rsidRPr="00761D82">
        <w:br w:type="page"/>
      </w:r>
    </w:p>
    <w:p w:rsidR="00712308" w:rsidRPr="00057E8C" w:rsidRDefault="00712308" w:rsidP="006E1599">
      <w:pPr>
        <w:spacing w:line="360" w:lineRule="auto"/>
        <w:rPr>
          <w:b/>
        </w:rPr>
      </w:pPr>
    </w:p>
    <w:p w:rsidR="00EF5D8E" w:rsidRPr="00AB6B4D" w:rsidRDefault="00EF5D8E" w:rsidP="00EF5D8E">
      <w:pPr>
        <w:pStyle w:val="ListParagraph"/>
        <w:numPr>
          <w:ilvl w:val="0"/>
          <w:numId w:val="3"/>
        </w:numPr>
        <w:spacing w:line="360" w:lineRule="auto"/>
        <w:rPr>
          <w:i/>
          <w:sz w:val="24"/>
          <w:szCs w:val="24"/>
          <w:lang w:val="ro-RO"/>
        </w:rPr>
      </w:pPr>
      <w:r w:rsidRPr="00AB6B4D">
        <w:rPr>
          <w:i/>
          <w:sz w:val="24"/>
          <w:szCs w:val="24"/>
          <w:lang w:val="ro-RO"/>
        </w:rPr>
        <w:t>Introducere</w:t>
      </w:r>
    </w:p>
    <w:p w:rsidR="003B33C2" w:rsidRPr="00AB6B4D" w:rsidRDefault="000B5DEB" w:rsidP="006E1599">
      <w:pPr>
        <w:spacing w:line="360" w:lineRule="auto"/>
      </w:pPr>
      <w:r w:rsidRPr="00AB6B4D">
        <w:t>Criza actuală a pus bănci</w:t>
      </w:r>
      <w:r w:rsidR="00B40882" w:rsidRPr="00AB6B4D">
        <w:t>le</w:t>
      </w:r>
      <w:r w:rsidRPr="00AB6B4D">
        <w:t xml:space="preserve"> centrale </w:t>
      </w:r>
      <w:r w:rsidR="00B40882" w:rsidRPr="00AB6B4D">
        <w:t xml:space="preserve">din unele țări dezvoltate </w:t>
      </w:r>
      <w:r w:rsidRPr="00AB6B4D">
        <w:t xml:space="preserve">într-o poziție specială. </w:t>
      </w:r>
      <w:r w:rsidR="00A47D8D" w:rsidRPr="00AB6B4D">
        <w:t>Ele cumpără active financiare de la sectorul public și de la sectorul privat, adică fac relaxări cantitative</w:t>
      </w:r>
      <w:r w:rsidR="00043E21">
        <w:rPr>
          <w:rStyle w:val="FootnoteReference"/>
        </w:rPr>
        <w:footnoteReference w:id="1"/>
      </w:r>
      <w:r w:rsidR="00A47D8D" w:rsidRPr="00AB6B4D">
        <w:t>. Cu alte cuvinte</w:t>
      </w:r>
      <w:r w:rsidR="00440FEA" w:rsidRPr="00AB6B4D">
        <w:t>,</w:t>
      </w:r>
      <w:r w:rsidR="006F08F8" w:rsidRPr="00AB6B4D">
        <w:t>expandează baza monetară</w:t>
      </w:r>
      <w:r w:rsidR="00A47D8D" w:rsidRPr="00AB6B4D">
        <w:t>. U</w:t>
      </w:r>
      <w:r w:rsidR="00E43B3E" w:rsidRPr="00AB6B4D">
        <w:t>nii economiști</w:t>
      </w:r>
      <w:r w:rsidR="00291671">
        <w:t xml:space="preserve"> </w:t>
      </w:r>
      <w:r w:rsidR="00545D4B" w:rsidRPr="00AB6B4D">
        <w:t xml:space="preserve">nu văd în acest proces decât că </w:t>
      </w:r>
      <w:r w:rsidR="00A47D8D" w:rsidRPr="00AB6B4D">
        <w:t xml:space="preserve">băncile centrale pun bazele unei inflații </w:t>
      </w:r>
      <w:r w:rsidR="00AB6B4D" w:rsidRPr="00AB6B4D">
        <w:t>nedorit de mari</w:t>
      </w:r>
      <w:r w:rsidR="00E43B3E" w:rsidRPr="00AB6B4D">
        <w:t xml:space="preserve"> în viitor. </w:t>
      </w:r>
      <w:r w:rsidR="00A47D8D" w:rsidRPr="00AB6B4D">
        <w:t>A</w:t>
      </w:r>
      <w:r w:rsidR="00E43B3E" w:rsidRPr="00AB6B4D">
        <w:t>lți economiști</w:t>
      </w:r>
      <w:r w:rsidR="00A47D8D" w:rsidRPr="00AB6B4D">
        <w:t xml:space="preserve"> însă</w:t>
      </w:r>
      <w:r w:rsidR="00E43B3E" w:rsidRPr="00AB6B4D">
        <w:t xml:space="preserve">, printre care mă număr și eu, </w:t>
      </w:r>
      <w:r w:rsidR="00AE4ACD" w:rsidRPr="00AB6B4D">
        <w:t xml:space="preserve">văd </w:t>
      </w:r>
      <w:r w:rsidR="00E43B3E" w:rsidRPr="00AB6B4D">
        <w:t>că băncile centrale nu au altă opțiune</w:t>
      </w:r>
      <w:r w:rsidR="00775B5A" w:rsidRPr="00AB6B4D">
        <w:t xml:space="preserve"> dacă vor să </w:t>
      </w:r>
      <w:r w:rsidR="007B2DA1" w:rsidRPr="00AB6B4D">
        <w:t>evite</w:t>
      </w:r>
      <w:r w:rsidR="00775B5A" w:rsidRPr="00AB6B4D">
        <w:t xml:space="preserve"> intrarea tuturor țărilor în capcana lichidității.</w:t>
      </w:r>
      <w:r w:rsidR="003B33C2" w:rsidRPr="00AB6B4D">
        <w:t xml:space="preserve">Dacă ar avea o alternativă, băncile centrale din economiile dezvoltate nu s-ar angaja pe </w:t>
      </w:r>
      <w:r w:rsidR="00AE4ACD" w:rsidRPr="00AB6B4D">
        <w:t>un drum</w:t>
      </w:r>
      <w:r w:rsidR="003B33C2" w:rsidRPr="00AB6B4D">
        <w:t xml:space="preserve"> care le pune în pericol independența câștigată cu mare greutate. </w:t>
      </w:r>
    </w:p>
    <w:p w:rsidR="001405E0" w:rsidRPr="00AB6B4D" w:rsidRDefault="00392D80" w:rsidP="00EF5D8E">
      <w:pPr>
        <w:pStyle w:val="ListParagraph"/>
        <w:numPr>
          <w:ilvl w:val="0"/>
          <w:numId w:val="3"/>
        </w:numPr>
        <w:spacing w:line="360" w:lineRule="auto"/>
        <w:rPr>
          <w:i/>
          <w:sz w:val="24"/>
          <w:szCs w:val="24"/>
          <w:lang w:val="ro-RO"/>
        </w:rPr>
      </w:pPr>
      <w:r w:rsidRPr="00AB6B4D">
        <w:rPr>
          <w:i/>
          <w:sz w:val="24"/>
          <w:szCs w:val="24"/>
          <w:lang w:val="ro-RO"/>
        </w:rPr>
        <w:t>Instrumentele convenționale: temporar pierdute</w:t>
      </w:r>
    </w:p>
    <w:p w:rsidR="00CC2FD6" w:rsidRPr="00AB6B4D" w:rsidRDefault="00E43B3E" w:rsidP="006E1599">
      <w:pPr>
        <w:spacing w:line="360" w:lineRule="auto"/>
      </w:pPr>
      <w:r w:rsidRPr="00AB6B4D">
        <w:t>Relaxările cantitative sunt inevitabile</w:t>
      </w:r>
      <w:r w:rsidR="00B40882" w:rsidRPr="00AB6B4D">
        <w:t xml:space="preserve"> deoarece </w:t>
      </w:r>
      <w:r w:rsidR="00FB6E39" w:rsidRPr="00AB6B4D">
        <w:t>instrumentele convenționale de stimulare a cererii au fost epuizate. R</w:t>
      </w:r>
      <w:r w:rsidR="003C2706" w:rsidRPr="00AB6B4D">
        <w:t>atele</w:t>
      </w:r>
      <w:r w:rsidR="00B40882" w:rsidRPr="00AB6B4D">
        <w:t xml:space="preserve"> dobânzii </w:t>
      </w:r>
      <w:r w:rsidR="00FB6E39" w:rsidRPr="00AB6B4D">
        <w:t>de politică monetară</w:t>
      </w:r>
      <w:r w:rsidR="003B33C2" w:rsidRPr="00AB6B4D">
        <w:t>, a căror reducere stimulează cererea</w:t>
      </w:r>
      <w:r w:rsidR="00581301" w:rsidRPr="00AB6B4D">
        <w:t>,</w:t>
      </w:r>
      <w:r w:rsidR="00C62269">
        <w:t xml:space="preserve"> </w:t>
      </w:r>
      <w:r w:rsidR="003C2706" w:rsidRPr="00AB6B4D">
        <w:t xml:space="preserve">au ajuns </w:t>
      </w:r>
      <w:r w:rsidR="003B33C2" w:rsidRPr="00AB6B4D">
        <w:t>demul</w:t>
      </w:r>
      <w:r w:rsidR="00581301" w:rsidRPr="00AB6B4D">
        <w:t>t</w:t>
      </w:r>
      <w:r w:rsidR="009B3D82">
        <w:t xml:space="preserve"> </w:t>
      </w:r>
      <w:r w:rsidR="004D0E74" w:rsidRPr="00AB6B4D">
        <w:t>aproape de zero</w:t>
      </w:r>
      <w:r w:rsidR="00392D80" w:rsidRPr="00AB6B4D">
        <w:t xml:space="preserve"> sau chiar zero</w:t>
      </w:r>
      <w:r w:rsidR="00FB6E39" w:rsidRPr="00AB6B4D">
        <w:t xml:space="preserve">. </w:t>
      </w:r>
      <w:r w:rsidR="003B33C2" w:rsidRPr="00AB6B4D">
        <w:t xml:space="preserve">Dincolo de acest nivel, ratele nominale </w:t>
      </w:r>
      <w:r w:rsidR="00FB6E39" w:rsidRPr="00AB6B4D">
        <w:t>nu mai pot fi reduse</w:t>
      </w:r>
      <w:r w:rsidR="00F01F6D" w:rsidRPr="00AB6B4D">
        <w:t>.</w:t>
      </w:r>
      <w:r w:rsidR="00323016">
        <w:t xml:space="preserve"> </w:t>
      </w:r>
      <w:r w:rsidR="00392D80" w:rsidRPr="00AB6B4D">
        <w:t>Cu alte cuvinte, economiile dezvoltate se află în capcana lichidității.</w:t>
      </w:r>
      <w:r w:rsidR="00FA6D9E">
        <w:t xml:space="preserve"> </w:t>
      </w:r>
      <w:r w:rsidR="00FB6E39" w:rsidRPr="00AB6B4D">
        <w:t>Aceasta înseamnă că rata reală a dobânzii, care este diferența dintre rata n</w:t>
      </w:r>
      <w:r w:rsidR="00DE7E2E" w:rsidRPr="00AB6B4D">
        <w:t>ominală (</w:t>
      </w:r>
      <w:r w:rsidR="00CC2FD6" w:rsidRPr="00AB6B4D">
        <w:t>adică</w:t>
      </w:r>
      <w:r w:rsidR="00DE7E2E" w:rsidRPr="00AB6B4D">
        <w:t xml:space="preserve"> zero) și inflația anticipată</w:t>
      </w:r>
      <w:r w:rsidR="00FB6E39" w:rsidRPr="00AB6B4D">
        <w:t xml:space="preserve">, rămâne dependentă </w:t>
      </w:r>
      <w:r w:rsidR="003B33C2" w:rsidRPr="00AB6B4D">
        <w:t xml:space="preserve">doar </w:t>
      </w:r>
      <w:r w:rsidR="00DE7E2E" w:rsidRPr="00AB6B4D">
        <w:t>de inflația anticipată</w:t>
      </w:r>
      <w:r w:rsidR="00FB6E39" w:rsidRPr="00AB6B4D">
        <w:t xml:space="preserve">. </w:t>
      </w:r>
    </w:p>
    <w:p w:rsidR="00FB6E39" w:rsidRPr="00AB6B4D" w:rsidRDefault="00584C13" w:rsidP="006E1599">
      <w:pPr>
        <w:spacing w:line="360" w:lineRule="auto"/>
      </w:pPr>
      <w:r w:rsidRPr="00AB6B4D">
        <w:t>De aici apare problema: f</w:t>
      </w:r>
      <w:r w:rsidR="00C25824" w:rsidRPr="00AB6B4D">
        <w:t xml:space="preserve">ără </w:t>
      </w:r>
      <w:r w:rsidR="005017AD" w:rsidRPr="00AB6B4D">
        <w:t>o stimulare în continuare a cererii</w:t>
      </w:r>
      <w:r w:rsidR="00C25824" w:rsidRPr="00AB6B4D">
        <w:t xml:space="preserve">, </w:t>
      </w:r>
      <w:r w:rsidR="00DE7E2E" w:rsidRPr="00AB6B4D">
        <w:t xml:space="preserve">publicul anticipează că </w:t>
      </w:r>
      <w:r w:rsidR="00FB6E39" w:rsidRPr="00AB6B4D">
        <w:t xml:space="preserve">prețurile ar putea </w:t>
      </w:r>
      <w:r w:rsidR="00C25824" w:rsidRPr="00AB6B4D">
        <w:t>intra</w:t>
      </w:r>
      <w:r w:rsidR="00FB6E39" w:rsidRPr="00AB6B4D">
        <w:t xml:space="preserve"> într-o fază de scădere, astfel că rata reală a dobânzii ar crește, </w:t>
      </w:r>
      <w:r w:rsidR="00C25824" w:rsidRPr="00AB6B4D">
        <w:t>putând împinge economia în depresie.</w:t>
      </w:r>
      <w:r w:rsidR="00CC2FD6" w:rsidRPr="00AB6B4D">
        <w:t>De exemplu, în SUA, dacă prețurile ar scădea cu 2,07 la sută, cu cât au scăzut în medie pe an în perioada 1929-1939, atunci rata reală a dobânzii de politică monetară ar fi egală cu a</w:t>
      </w:r>
      <w:r w:rsidR="00A53C6B" w:rsidRPr="00AB6B4D">
        <w:t>proximativ +2,07 la sută (0 – (-</w:t>
      </w:r>
      <w:r w:rsidR="00CC2FD6" w:rsidRPr="00AB6B4D">
        <w:t>2,07) = 2,07). Un nivel foarte mare</w:t>
      </w:r>
      <w:r w:rsidR="005E59D9" w:rsidRPr="00AB6B4D">
        <w:t xml:space="preserve"> (care ar oprima cererea)</w:t>
      </w:r>
      <w:r w:rsidR="00CC2FD6" w:rsidRPr="00AB6B4D">
        <w:t xml:space="preserve">, </w:t>
      </w:r>
      <w:r w:rsidR="005E59D9" w:rsidRPr="00AB6B4D">
        <w:t>comparativ cu o rată a dobânzii reale de -</w:t>
      </w:r>
      <w:r w:rsidR="002D6796" w:rsidRPr="00AB6B4D">
        <w:t>2</w:t>
      </w:r>
      <w:r w:rsidR="005E59D9" w:rsidRPr="00AB6B4D">
        <w:t>,47</w:t>
      </w:r>
      <w:r w:rsidR="007D18CF" w:rsidRPr="00AB6B4D">
        <w:t>,</w:t>
      </w:r>
      <w:r w:rsidR="005E59D9" w:rsidRPr="00AB6B4D">
        <w:t xml:space="preserve"> cât a fost în perioada 2009-2011</w:t>
      </w:r>
      <w:r w:rsidR="007D18CF" w:rsidRPr="00AB6B4D">
        <w:t xml:space="preserve"> și care a stimulat cererea</w:t>
      </w:r>
      <w:r w:rsidR="005E59D9" w:rsidRPr="00AB6B4D">
        <w:t>.</w:t>
      </w:r>
    </w:p>
    <w:p w:rsidR="00B53B52" w:rsidRPr="00AB6B4D" w:rsidRDefault="005017AD" w:rsidP="006E1599">
      <w:pPr>
        <w:spacing w:line="360" w:lineRule="auto"/>
      </w:pPr>
      <w:r w:rsidRPr="00AB6B4D">
        <w:t>În teorie, în acest caz, în care ratele dobânzii sunt egale cu zero, d</w:t>
      </w:r>
      <w:r w:rsidR="00FB6E39" w:rsidRPr="00AB6B4D">
        <w:t>eficitele bugetare</w:t>
      </w:r>
      <w:r w:rsidR="0027553E" w:rsidRPr="00AB6B4D">
        <w:t xml:space="preserve"> ar </w:t>
      </w:r>
      <w:r w:rsidRPr="00AB6B4D">
        <w:t>trebui</w:t>
      </w:r>
      <w:r w:rsidR="0027553E" w:rsidRPr="00AB6B4D">
        <w:t xml:space="preserve"> mărite pentru a stimula cererea</w:t>
      </w:r>
      <w:r w:rsidR="00623285">
        <w:rPr>
          <w:rStyle w:val="FootnoteReference"/>
        </w:rPr>
        <w:footnoteReference w:id="2"/>
      </w:r>
      <w:r w:rsidR="00581301" w:rsidRPr="00AB6B4D">
        <w:t xml:space="preserve"> și a evita scăderea prețurilor</w:t>
      </w:r>
      <w:r w:rsidR="0027553E" w:rsidRPr="00AB6B4D">
        <w:t xml:space="preserve">. </w:t>
      </w:r>
      <w:r w:rsidRPr="00AB6B4D">
        <w:t xml:space="preserve">Din nefericire, nici acest lucru </w:t>
      </w:r>
      <w:r w:rsidRPr="00AB6B4D">
        <w:lastRenderedPageBreak/>
        <w:t xml:space="preserve">nu mai este posibil. </w:t>
      </w:r>
      <w:r w:rsidR="00625A64" w:rsidRPr="00AB6B4D">
        <w:t>Fiind foarte îndatorate</w:t>
      </w:r>
      <w:r w:rsidR="00444BE4" w:rsidRPr="00AB6B4D">
        <w:t>,</w:t>
      </w:r>
      <w:r w:rsidR="00625A64" w:rsidRPr="00AB6B4D">
        <w:t xml:space="preserve"> state</w:t>
      </w:r>
      <w:r w:rsidR="00444BE4" w:rsidRPr="00AB6B4D">
        <w:t>le</w:t>
      </w:r>
      <w:r w:rsidR="00625A64" w:rsidRPr="00AB6B4D">
        <w:t xml:space="preserve"> dezvoltate </w:t>
      </w:r>
      <w:r w:rsidR="00CD32B6" w:rsidRPr="00AB6B4D">
        <w:t>au avut</w:t>
      </w:r>
      <w:r w:rsidR="00625A64" w:rsidRPr="00AB6B4D">
        <w:t>puțin spațiu pentru lărgirea deficitelor</w:t>
      </w:r>
      <w:r w:rsidR="00444BE4" w:rsidRPr="00AB6B4D">
        <w:t>. Când criza a lovit,acest spațiu s-</w:t>
      </w:r>
      <w:r w:rsidR="00625A64" w:rsidRPr="00AB6B4D">
        <w:t>a epuizat înainte de a reuși punerea cererii agregate pe o pantă ascendentă fermă.</w:t>
      </w:r>
    </w:p>
    <w:p w:rsidR="0027553E" w:rsidRPr="00AB6B4D" w:rsidRDefault="00CD32B6" w:rsidP="006E1599">
      <w:pPr>
        <w:spacing w:line="360" w:lineRule="auto"/>
      </w:pPr>
      <w:r w:rsidRPr="00AB6B4D">
        <w:t>Mai mult, în zona euro, piața a arătat unor state că nu le mai tolerează nivelurile de îndatorare publică. Este vorba despre țările care au pierdut co</w:t>
      </w:r>
      <w:r w:rsidR="00DF4011" w:rsidRPr="00AB6B4D">
        <w:t>mpetitivitate față de țările care au redus costurile și au promovat reforme esențiale. N</w:t>
      </w:r>
      <w:r w:rsidR="00B53B52" w:rsidRPr="00AB6B4D">
        <w:t xml:space="preserve">eavând opțiunea devalorizării monedei, </w:t>
      </w:r>
      <w:r w:rsidR="00DF4011" w:rsidRPr="00AB6B4D">
        <w:t xml:space="preserve">țările </w:t>
      </w:r>
      <w:r w:rsidR="00584C13" w:rsidRPr="00AB6B4D">
        <w:t>respective</w:t>
      </w:r>
      <w:r w:rsidR="00B53B52" w:rsidRPr="00AB6B4D">
        <w:t>au mărit</w:t>
      </w:r>
      <w:r w:rsidR="00DF4011" w:rsidRPr="00AB6B4D">
        <w:t>, în timp,</w:t>
      </w:r>
      <w:r w:rsidR="00B53B52" w:rsidRPr="00AB6B4D">
        <w:t xml:space="preserve"> cheltuielile publice și deficitele</w:t>
      </w:r>
      <w:r w:rsidR="00DF4011" w:rsidRPr="00AB6B4D">
        <w:t xml:space="preserve"> bugetare.</w:t>
      </w:r>
      <w:r w:rsidR="009867BB" w:rsidRPr="00AB6B4D">
        <w:t>De ceva timp,</w:t>
      </w:r>
      <w:r w:rsidR="00DF4011" w:rsidRPr="00AB6B4D">
        <w:t xml:space="preserve"> i</w:t>
      </w:r>
      <w:r w:rsidR="003C2706" w:rsidRPr="00AB6B4D">
        <w:t xml:space="preserve">nvestitorii </w:t>
      </w:r>
      <w:r w:rsidR="00DF4011" w:rsidRPr="00AB6B4D">
        <w:t>nu doresc să mai finanțeze aceste deficite.</w:t>
      </w:r>
    </w:p>
    <w:p w:rsidR="000E4407" w:rsidRPr="00AB6B4D" w:rsidRDefault="0027553E" w:rsidP="006E1599">
      <w:pPr>
        <w:spacing w:line="360" w:lineRule="auto"/>
      </w:pPr>
      <w:r w:rsidRPr="00AB6B4D">
        <w:t>Având în vedere epuizarea celor două instrumente</w:t>
      </w:r>
      <w:r w:rsidR="009867BB" w:rsidRPr="00AB6B4D">
        <w:t xml:space="preserve">—rata nominală a dobânzii </w:t>
      </w:r>
      <w:r w:rsidR="002D6796" w:rsidRPr="00AB6B4D">
        <w:t xml:space="preserve">pe termen scurt </w:t>
      </w:r>
      <w:r w:rsidR="009867BB" w:rsidRPr="00AB6B4D">
        <w:t xml:space="preserve">și deficitele bugetare—alte instrumente au fost necesare. Practic, au rămas </w:t>
      </w:r>
      <w:r w:rsidRPr="00AB6B4D">
        <w:t xml:space="preserve">două opțiuni: </w:t>
      </w:r>
      <w:r w:rsidR="000E4407" w:rsidRPr="00AB6B4D">
        <w:t xml:space="preserve">(i) </w:t>
      </w:r>
      <w:r w:rsidRPr="00AB6B4D">
        <w:t xml:space="preserve">restructurarea cheltuielilor și a impozitelor </w:t>
      </w:r>
      <w:r w:rsidR="00D74E5D">
        <w:t xml:space="preserve">(inclusiv </w:t>
      </w:r>
      <w:r w:rsidR="000E4407" w:rsidRPr="00AB6B4D">
        <w:t>pentru statele pe care piața încă le finanțează</w:t>
      </w:r>
      <w:r w:rsidR="00D74E5D">
        <w:t>)</w:t>
      </w:r>
      <w:r w:rsidR="000E4407" w:rsidRPr="00AB6B4D">
        <w:t xml:space="preserve">, </w:t>
      </w:r>
      <w:r w:rsidRPr="00AB6B4D">
        <w:t>astfel încât, fără a mări deficitele</w:t>
      </w:r>
      <w:r w:rsidR="00584C13" w:rsidRPr="00AB6B4D">
        <w:t xml:space="preserve"> sau chiar reducându-le</w:t>
      </w:r>
      <w:r w:rsidRPr="00AB6B4D">
        <w:t xml:space="preserve">, bugetele publice să poată stimula cererea agregată și, </w:t>
      </w:r>
      <w:r w:rsidR="000E4407" w:rsidRPr="00AB6B4D">
        <w:t>mai departe</w:t>
      </w:r>
      <w:r w:rsidRPr="00AB6B4D">
        <w:t>, ieșirea din recesiune</w:t>
      </w:r>
      <w:r w:rsidR="00AB6E36" w:rsidRPr="00AB6B4D">
        <w:rPr>
          <w:rStyle w:val="FootnoteReference"/>
        </w:rPr>
        <w:footnoteReference w:id="3"/>
      </w:r>
      <w:r w:rsidR="000E4407" w:rsidRPr="00AB6B4D">
        <w:t>; și (ii) cumpărarea de către banca centrală a activelor fina</w:t>
      </w:r>
      <w:r w:rsidR="002D05E7" w:rsidRPr="00AB6B4D">
        <w:t>n</w:t>
      </w:r>
      <w:r w:rsidR="000E4407" w:rsidRPr="00AB6B4D">
        <w:t xml:space="preserve">ciare de la sectorul public și de la cel privat. </w:t>
      </w:r>
    </w:p>
    <w:p w:rsidR="00005FD9" w:rsidRDefault="000E4407" w:rsidP="006E1599">
      <w:pPr>
        <w:spacing w:line="360" w:lineRule="auto"/>
      </w:pPr>
      <w:r w:rsidRPr="00AB6B4D">
        <w:t xml:space="preserve">Date fiind echilibrele politice și sociale, </w:t>
      </w:r>
      <w:r w:rsidR="003D08B9" w:rsidRPr="00AB6B4D">
        <w:t xml:space="preserve">pe termen scurt, </w:t>
      </w:r>
      <w:r w:rsidRPr="00AB6B4D">
        <w:t>prima opțiune rămâne doar</w:t>
      </w:r>
      <w:r w:rsidR="003D08B9" w:rsidRPr="00AB6B4D">
        <w:t xml:space="preserve"> teoretică</w:t>
      </w:r>
      <w:r w:rsidRPr="00AB6B4D">
        <w:t>.</w:t>
      </w:r>
      <w:r w:rsidR="00CF2252" w:rsidRPr="00AB6B4D">
        <w:t xml:space="preserve"> În practică, reducerea deficitelor</w:t>
      </w:r>
      <w:r w:rsidR="0062379F" w:rsidRPr="00AB6B4D">
        <w:rPr>
          <w:rStyle w:val="FootnoteReference"/>
        </w:rPr>
        <w:footnoteReference w:id="4"/>
      </w:r>
      <w:r w:rsidR="00584C13" w:rsidRPr="00AB6B4D">
        <w:t xml:space="preserve">sau reproiectarea </w:t>
      </w:r>
      <w:r w:rsidR="00C25824" w:rsidRPr="00AB6B4D">
        <w:t xml:space="preserve">bugetelor publice </w:t>
      </w:r>
      <w:r w:rsidR="00CF2252" w:rsidRPr="00AB6B4D">
        <w:t>cu viteze care să refacă încrederea investitorilor se dovedește a fi iluzorie. În aceste condiții, băncile centrale din statele dezvoltate sunt nevoite să cum</w:t>
      </w:r>
      <w:r w:rsidR="00CC2FD6" w:rsidRPr="00AB6B4D">
        <w:t>pere, în mod indirect, datorie</w:t>
      </w:r>
      <w:r w:rsidR="00CF2252" w:rsidRPr="00AB6B4D">
        <w:t xml:space="preserve"> guvernamentală</w:t>
      </w:r>
      <w:r w:rsidR="00CC2FD6" w:rsidRPr="00AB6B4D">
        <w:t xml:space="preserve"> (bonduri)</w:t>
      </w:r>
      <w:r w:rsidR="00CF2252" w:rsidRPr="00AB6B4D">
        <w:t xml:space="preserve"> și active financiare de la sectorul privat.</w:t>
      </w:r>
      <w:r w:rsidR="00642EC9">
        <w:t xml:space="preserve"> </w:t>
      </w:r>
      <w:r w:rsidR="005B767D">
        <w:t xml:space="preserve">Începând din 2007 </w:t>
      </w:r>
      <w:r w:rsidR="005B767D">
        <w:lastRenderedPageBreak/>
        <w:t>băncile centrale au inundat sistemul financiar cu mai mult de 11 trilioane de dolari (</w:t>
      </w:r>
      <w:r w:rsidR="00D84627">
        <w:t>Hilsentath și Blackstone, 2012)</w:t>
      </w:r>
      <w:r w:rsidR="007445E0">
        <w:t>.</w:t>
      </w:r>
    </w:p>
    <w:p w:rsidR="007459D9" w:rsidRDefault="009C6559" w:rsidP="007459D9">
      <w:pPr>
        <w:spacing w:line="360" w:lineRule="auto"/>
      </w:pPr>
      <w:r>
        <w:t>B</w:t>
      </w:r>
      <w:r w:rsidR="007445E0">
        <w:t>ilanțul băncii</w:t>
      </w:r>
      <w:r>
        <w:t xml:space="preserve"> centrale s-a transformat dintr</w:t>
      </w:r>
      <w:r w:rsidR="007445E0">
        <w:t>-un element care reflecta pasiv operații ale băncii centrale,</w:t>
      </w:r>
      <w:r w:rsidR="007459D9">
        <w:t xml:space="preserve"> într-un inst</w:t>
      </w:r>
      <w:r w:rsidR="007445E0">
        <w:t xml:space="preserve">rument de politică economică. Înainte de criză, bilanțul reflecta răspunsul </w:t>
      </w:r>
      <w:r w:rsidR="00A51F34">
        <w:t xml:space="preserve">băncii centrale </w:t>
      </w:r>
      <w:r w:rsidR="007445E0">
        <w:t>la cererea publicului pentru bancnote și monezi, stabilirea rezervelor minime obligatorii și interacțiunea cu piața monetară. În timpul crize</w:t>
      </w:r>
      <w:r w:rsidR="007459D9">
        <w:t>i însă, expandarea</w:t>
      </w:r>
      <w:r w:rsidR="007445E0">
        <w:t xml:space="preserve"> bilanțurilor băncilor centrale din țările dezvoltate </w:t>
      </w:r>
      <w:r w:rsidR="007459D9">
        <w:t>prin cum</w:t>
      </w:r>
      <w:r>
        <w:t>p</w:t>
      </w:r>
      <w:r w:rsidR="007459D9">
        <w:t xml:space="preserve">ărări de active de la sectorul public și de la sectorul privat </w:t>
      </w:r>
      <w:r w:rsidR="007445E0">
        <w:t>a fost</w:t>
      </w:r>
      <w:r w:rsidR="007459D9">
        <w:t xml:space="preserve"> soluția pentru a amortiza efectele determinate de restrângerea bilanțului sectorului privat.  </w:t>
      </w:r>
    </w:p>
    <w:p w:rsidR="002D6796" w:rsidRPr="00B51B03" w:rsidRDefault="00344890" w:rsidP="00B51B03">
      <w:pPr>
        <w:pStyle w:val="ListParagraph"/>
        <w:numPr>
          <w:ilvl w:val="0"/>
          <w:numId w:val="3"/>
        </w:numPr>
        <w:spacing w:line="360" w:lineRule="auto"/>
        <w:rPr>
          <w:i/>
          <w:sz w:val="24"/>
          <w:szCs w:val="24"/>
          <w:lang w:val="ro-RO"/>
        </w:rPr>
      </w:pPr>
      <w:r w:rsidRPr="00B51B03">
        <w:rPr>
          <w:i/>
          <w:sz w:val="24"/>
          <w:szCs w:val="24"/>
          <w:lang w:val="ro-RO"/>
        </w:rPr>
        <w:t>“Iresponsabili”</w:t>
      </w:r>
      <w:r w:rsidR="00392D80" w:rsidRPr="00B51B03">
        <w:rPr>
          <w:i/>
          <w:sz w:val="24"/>
          <w:szCs w:val="24"/>
          <w:lang w:val="ro-RO"/>
        </w:rPr>
        <w:t>de ultimă instanță</w:t>
      </w:r>
    </w:p>
    <w:p w:rsidR="00A902BB" w:rsidRDefault="001C2A8F" w:rsidP="006E1599">
      <w:pPr>
        <w:spacing w:line="360" w:lineRule="auto"/>
      </w:pPr>
      <w:r w:rsidRPr="00AB6B4D">
        <w:t xml:space="preserve">Prin aceste cumpărări, </w:t>
      </w:r>
      <w:r w:rsidR="0098377E">
        <w:t xml:space="preserve">pe de o parte </w:t>
      </w:r>
      <w:r w:rsidRPr="00AB6B4D">
        <w:t>băncile centrale țintesc la creșterea inflației anticipate, care să ducă rata reală a dobânzii la niveluri mai mici, stimulând</w:t>
      </w:r>
      <w:r w:rsidR="002D05E7" w:rsidRPr="00AB6B4D">
        <w:t xml:space="preserve"> astfel</w:t>
      </w:r>
      <w:r w:rsidRPr="00AB6B4D">
        <w:t xml:space="preserve"> cererea agregată. </w:t>
      </w:r>
      <w:r w:rsidR="0098377E">
        <w:t xml:space="preserve">Pe de altă parte, </w:t>
      </w:r>
      <w:r w:rsidR="002D6796" w:rsidRPr="00AB6B4D">
        <w:t xml:space="preserve">programele de relaxări cantitative </w:t>
      </w:r>
      <w:r w:rsidR="0098377E">
        <w:t>aduc la niveluri jo</w:t>
      </w:r>
      <w:r w:rsidR="00B808DC">
        <w:t>a</w:t>
      </w:r>
      <w:r w:rsidR="0098377E">
        <w:t xml:space="preserve">se </w:t>
      </w:r>
      <w:r w:rsidR="00B808DC">
        <w:t>ratele</w:t>
      </w:r>
      <w:r w:rsidR="002D6796" w:rsidRPr="00AB6B4D">
        <w:t xml:space="preserve"> dobânzii pe termen mediu și pe termen lung prin reducerea premium-ului titlurilor financiare </w:t>
      </w:r>
      <w:r w:rsidR="00901431">
        <w:t>cumpărate</w:t>
      </w:r>
      <w:r w:rsidR="002D6796" w:rsidRPr="00AB6B4D">
        <w:t>.</w:t>
      </w:r>
      <w:r w:rsidR="00A902BB">
        <w:t xml:space="preserve">Cu rate joase </w:t>
      </w:r>
      <w:r w:rsidR="006C4EDE">
        <w:t>ale dobânzii</w:t>
      </w:r>
      <w:r w:rsidR="00A902BB">
        <w:t xml:space="preserve">, investitorii mută mai mulți bani către piața de capital și firmele își finanțează mai ieftin afacerile, ceea ce le mărește potențialul </w:t>
      </w:r>
      <w:r w:rsidR="008E374E">
        <w:t xml:space="preserve">viitor de a produce venituri </w:t>
      </w:r>
      <w:r w:rsidR="00A902BB">
        <w:t>și duce la creșterea prețului acțiunilor</w:t>
      </w:r>
      <w:r w:rsidR="00A902BB">
        <w:rPr>
          <w:rStyle w:val="FootnoteReference"/>
        </w:rPr>
        <w:footnoteReference w:id="5"/>
      </w:r>
      <w:r w:rsidR="00A902BB">
        <w:t xml:space="preserve">. </w:t>
      </w:r>
    </w:p>
    <w:p w:rsidR="00A02899" w:rsidRPr="00AB6B4D" w:rsidRDefault="0098377E" w:rsidP="006E1599">
      <w:pPr>
        <w:spacing w:line="360" w:lineRule="auto"/>
      </w:pPr>
      <w:r>
        <w:t>D</w:t>
      </w:r>
      <w:r w:rsidR="00CF2252" w:rsidRPr="00AB6B4D">
        <w:t xml:space="preserve">in punct de vedere tehnic, băncile centrale </w:t>
      </w:r>
      <w:r w:rsidR="00144D4F" w:rsidRPr="00AB6B4D">
        <w:t xml:space="preserve">fac un swap de active cu sectorul public și cu cel privat. Pentru bondurile guvernamentale și pentru activele financiare ale sectorului privat, banca centrală </w:t>
      </w:r>
      <w:r w:rsidR="00E64C5A" w:rsidRPr="00AB6B4D">
        <w:t>plătește mărind</w:t>
      </w:r>
      <w:r w:rsidR="00144D4F" w:rsidRPr="00AB6B4D">
        <w:t xml:space="preserve"> depozitele băncilor comerciale la banca centrală </w:t>
      </w:r>
      <w:r w:rsidR="00CF2252" w:rsidRPr="00AB6B4D">
        <w:t xml:space="preserve">la niveluri </w:t>
      </w:r>
      <w:r w:rsidR="00E64C5A" w:rsidRPr="00AB6B4D">
        <w:t>peste</w:t>
      </w:r>
      <w:r w:rsidR="00CF2252" w:rsidRPr="00AB6B4D">
        <w:t xml:space="preserve"> cele necesare pentru a menține rata dobânzii nominale la zero</w:t>
      </w:r>
      <w:r w:rsidR="00325F1C">
        <w:t xml:space="preserve"> (Isărescu, 2012)</w:t>
      </w:r>
      <w:r w:rsidR="00CF2252" w:rsidRPr="00AB6B4D">
        <w:t xml:space="preserve">. </w:t>
      </w:r>
    </w:p>
    <w:p w:rsidR="00A02899" w:rsidRPr="00AB6B4D" w:rsidRDefault="00144D4F" w:rsidP="006E1599">
      <w:pPr>
        <w:spacing w:line="360" w:lineRule="auto"/>
      </w:pPr>
      <w:r w:rsidRPr="00AB6B4D">
        <w:t>În cazul cumpărării bondurilor guvernamentale</w:t>
      </w:r>
      <w:r w:rsidR="00E64C5A" w:rsidRPr="00AB6B4D">
        <w:t>,</w:t>
      </w:r>
      <w:r w:rsidR="00CF2252" w:rsidRPr="00AB6B4D">
        <w:t>aceasta înseamnă finanțarea deficitelor unor state</w:t>
      </w:r>
      <w:r w:rsidR="00A02899" w:rsidRPr="00AB6B4D">
        <w:t xml:space="preserve"> pe care piața nu le mai finanțează</w:t>
      </w:r>
      <w:r w:rsidRPr="00AB6B4D">
        <w:t>. În cazul cumpărării activelor financiare ale sectorului privat, aceasta înseamnă, pur și simplu</w:t>
      </w:r>
      <w:r w:rsidR="00C25824" w:rsidRPr="00AB6B4D">
        <w:t>,</w:t>
      </w:r>
      <w:r w:rsidR="00A02899" w:rsidRPr="00AB6B4D">
        <w:t>acordarea de credite de către banca centrală</w:t>
      </w:r>
      <w:r w:rsidRPr="00AB6B4D">
        <w:t xml:space="preserve"> unor sectoare economice.</w:t>
      </w:r>
      <w:r w:rsidR="00A02899" w:rsidRPr="00AB6B4D">
        <w:t xml:space="preserve">De exemplu, </w:t>
      </w:r>
      <w:r w:rsidR="00951B22">
        <w:t xml:space="preserve">în ultimii ani </w:t>
      </w:r>
      <w:r w:rsidR="00A02899" w:rsidRPr="00AB6B4D">
        <w:t>Fed-ul a cumpărat titluri acoperite cu mortgage de la instituții private sau datorii</w:t>
      </w:r>
      <w:r w:rsidR="00951B22">
        <w:t xml:space="preserve"> ale agențiilor guvernamentale. Cel mai recent, în decembrie 2012 Fed-ul a decis </w:t>
      </w:r>
      <w:r w:rsidR="00A573A4">
        <w:t xml:space="preserve">continuarea cumpărărilor de bonduri guvernamentale și titluri </w:t>
      </w:r>
      <w:r w:rsidR="00A573A4">
        <w:lastRenderedPageBreak/>
        <w:t xml:space="preserve">garantate cu mortgage (MBS) totalizând 85 miliarde dolari pe lună în 2013.Cumpărarea de MBS </w:t>
      </w:r>
      <w:r w:rsidR="00A02899" w:rsidRPr="00AB6B4D">
        <w:t xml:space="preserve">sunt </w:t>
      </w:r>
      <w:r w:rsidR="00A573A4">
        <w:t xml:space="preserve">operații </w:t>
      </w:r>
      <w:r w:rsidR="00A02899" w:rsidRPr="00AB6B4D">
        <w:t>fiscale în natură deoarece afectează în mod direct alocarea resurselor la nivel microeconomic, așa cum face și politica fiscală</w:t>
      </w:r>
      <w:r w:rsidR="00C84301">
        <w:rPr>
          <w:rStyle w:val="FootnoteReference"/>
        </w:rPr>
        <w:footnoteReference w:id="6"/>
      </w:r>
      <w:r w:rsidR="00A02899" w:rsidRPr="00AB6B4D">
        <w:t>.</w:t>
      </w:r>
    </w:p>
    <w:p w:rsidR="005857A6" w:rsidRPr="00AB6B4D" w:rsidRDefault="00CF49DF" w:rsidP="006E1599">
      <w:pPr>
        <w:spacing w:line="360" w:lineRule="auto"/>
      </w:pPr>
      <w:r w:rsidRPr="00AB6B4D">
        <w:t xml:space="preserve">Această filozofie este total diferită de cea </w:t>
      </w:r>
      <w:r w:rsidR="00603621" w:rsidRPr="00AB6B4D">
        <w:t>apărută</w:t>
      </w:r>
      <w:r w:rsidRPr="00AB6B4D">
        <w:t xml:space="preserve"> la sfârșitul anilor 90, când s-a adoptat țintirea inflației. După 1995 s-au utilizat aproape exclusiv instrumente</w:t>
      </w:r>
      <w:r w:rsidR="000B6305" w:rsidRPr="00AB6B4D">
        <w:t xml:space="preserve"> indirecte pentru modificarea c</w:t>
      </w:r>
      <w:r w:rsidRPr="00AB6B4D">
        <w:t>antității de bani</w:t>
      </w:r>
      <w:r w:rsidR="00B66300" w:rsidRPr="00AB6B4D">
        <w:t>, ceea ce a permis separarea clară a operațiilor monetare de cele cvasifiscale</w:t>
      </w:r>
      <w:r w:rsidRPr="00AB6B4D">
        <w:t>. Rata dobînzii a fost atât o țintă cât și un instrument operațional, permițând separarea banilor de politica monetară</w:t>
      </w:r>
      <w:r w:rsidR="005857A6" w:rsidRPr="00AB6B4D">
        <w:t xml:space="preserve">, ceea ce s-a reflectat în </w:t>
      </w:r>
      <w:r w:rsidRPr="00AB6B4D">
        <w:t>scădere</w:t>
      </w:r>
      <w:r w:rsidR="005857A6" w:rsidRPr="00AB6B4D">
        <w:t xml:space="preserve">a </w:t>
      </w:r>
      <w:r w:rsidRPr="00AB6B4D">
        <w:t xml:space="preserve">ponderii operațiilor monetare în totalul </w:t>
      </w:r>
      <w:r w:rsidR="005857A6" w:rsidRPr="00AB6B4D">
        <w:t>tranzacțiilor pe piața financiară. Sub acea filozofie, banca centrală atingea ținta de inflație dacă promitea în mod credibil o anumită traiectorie a ratelor dobânzii. Cu alte cuvinte, ținta se atingea dacă banca centrală promitea în mod credibil să fie responsabilă.</w:t>
      </w:r>
    </w:p>
    <w:p w:rsidR="00190BD3" w:rsidRPr="00AB6B4D" w:rsidRDefault="005857A6" w:rsidP="006E1599">
      <w:pPr>
        <w:spacing w:before="240" w:line="360" w:lineRule="auto"/>
      </w:pPr>
      <w:r w:rsidRPr="00AB6B4D">
        <w:t>Astăzi, dimpotrivă, schimbul de active la care m-am referit are șansa să se transmită în inflație dacă este repetat sub un angajament credibil de creștere a ofertei de bani</w:t>
      </w:r>
      <w:r w:rsidR="00B66300" w:rsidRPr="00AB6B4D">
        <w:t xml:space="preserve"> (Bernanke și Reinhart, 2004)</w:t>
      </w:r>
      <w:r w:rsidRPr="00AB6B4D">
        <w:t xml:space="preserve">. </w:t>
      </w:r>
      <w:r w:rsidR="008B7906" w:rsidRPr="00AB6B4D">
        <w:t>Krugman (1998, p.139) a spus că</w:t>
      </w:r>
      <w:r w:rsidR="000B6305" w:rsidRPr="00AB6B4D">
        <w:t>politica monetară</w:t>
      </w:r>
      <w:r w:rsidR="00FA6D9E">
        <w:t xml:space="preserve"> </w:t>
      </w:r>
      <w:r w:rsidR="000B6305" w:rsidRPr="00AB6B4D">
        <w:t>va</w:t>
      </w:r>
      <w:r w:rsidRPr="00AB6B4D">
        <w:t xml:space="preserve"> atinge scopul urmărit cu relaxările cantitative “dacă </w:t>
      </w:r>
      <w:r w:rsidR="000B6305" w:rsidRPr="00AB6B4D">
        <w:t>banca centrală</w:t>
      </w:r>
      <w:r w:rsidRPr="00AB6B4D">
        <w:t xml:space="preserve"> poate promite în mod credibil să fie iresponsabilă, să caute un nivel al prețului mai înalt</w:t>
      </w:r>
      <w:r w:rsidR="00B66300" w:rsidRPr="00AB6B4D">
        <w:t>.</w:t>
      </w:r>
      <w:r w:rsidR="00BB6516">
        <w:t>”</w:t>
      </w:r>
      <w:r w:rsidR="008B7906" w:rsidRPr="00AB6B4D">
        <w:t xml:space="preserve">Cu alte cuvinte, băncile centrale trebuie să </w:t>
      </w:r>
      <w:r w:rsidR="00D936F0" w:rsidRPr="00AB6B4D">
        <w:t>își asume într-un mod foarte disciplinatmisiunea de a fi</w:t>
      </w:r>
      <w:r w:rsidR="00294B8B" w:rsidRPr="00AB6B4D">
        <w:t>“iresponsabilii” de ultimă instanță</w:t>
      </w:r>
      <w:r w:rsidR="008B7906" w:rsidRPr="00AB6B4D">
        <w:t>.</w:t>
      </w:r>
    </w:p>
    <w:p w:rsidR="00B62465" w:rsidRPr="00AB6B4D" w:rsidRDefault="003D679B" w:rsidP="00B62465">
      <w:pPr>
        <w:autoSpaceDE w:val="0"/>
        <w:autoSpaceDN w:val="0"/>
        <w:adjustRightInd w:val="0"/>
        <w:spacing w:after="0" w:line="360" w:lineRule="auto"/>
      </w:pPr>
      <w:r w:rsidRPr="00AB6B4D">
        <w:t xml:space="preserve">Dacă </w:t>
      </w:r>
      <w:r w:rsidR="00B62465" w:rsidRPr="00AB6B4D">
        <w:t>țările care actualmente se află în capcana lichidității</w:t>
      </w:r>
      <w:r w:rsidRPr="00AB6B4D">
        <w:t xml:space="preserve"> nu reușesc să fie eficiente pe canalul anticipațiilor privind inflația viitoare, și alte țări ar putea intra în capcana lichidității</w:t>
      </w:r>
      <w:r w:rsidR="00DF1297">
        <w:rPr>
          <w:rStyle w:val="FootnoteReference"/>
        </w:rPr>
        <w:footnoteReference w:id="7"/>
      </w:r>
      <w:r w:rsidRPr="00AB6B4D">
        <w:t xml:space="preserve">. </w:t>
      </w:r>
      <w:r w:rsidR="009E4542" w:rsidRPr="00AB6B4D">
        <w:t xml:space="preserve">Dat fiind gradul mare de integrare a comerțului și a piețelor financiare, </w:t>
      </w:r>
      <w:r w:rsidR="009E4542" w:rsidRPr="00AB6B4D">
        <w:lastRenderedPageBreak/>
        <w:t>căderea cererii agregate în țările dezvoltate poate duce la căderea sub zero a ratei naturale reale a dobânzii în toate țările, dând naștere la o capcană a lichidității gl</w:t>
      </w:r>
      <w:r w:rsidR="00B62465" w:rsidRPr="00AB6B4D">
        <w:t>obale (Cook și Devereaux, 2011)</w:t>
      </w:r>
      <w:r w:rsidR="00C9281A" w:rsidRPr="00AB6B4D">
        <w:t>. Ieșirea dintr-o astfelde situație complicată ar fi dependentă de implementarea de politici cooperative, dificil de promovat</w:t>
      </w:r>
      <w:r w:rsidR="00374390" w:rsidRPr="00AB6B4D">
        <w:rPr>
          <w:rStyle w:val="FootnoteReference"/>
        </w:rPr>
        <w:footnoteReference w:id="8"/>
      </w:r>
      <w:r w:rsidR="00C9281A" w:rsidRPr="00AB6B4D">
        <w:t>.</w:t>
      </w:r>
    </w:p>
    <w:p w:rsidR="00857D77" w:rsidRPr="00AB6B4D" w:rsidRDefault="00922790" w:rsidP="006E1599">
      <w:pPr>
        <w:spacing w:before="240" w:line="360" w:lineRule="auto"/>
      </w:pPr>
      <w:r w:rsidRPr="00AB6B4D">
        <w:t>Pentru a evita o astfel de situație, relaxările cantitative din țările dezvoltate vor continua. Până acum, m</w:t>
      </w:r>
      <w:r w:rsidR="006A77A8" w:rsidRPr="00AB6B4D">
        <w:t xml:space="preserve">ăsurile neconvenționale </w:t>
      </w:r>
      <w:r w:rsidR="00190BD3" w:rsidRPr="00AB6B4D">
        <w:t xml:space="preserve">au </w:t>
      </w:r>
      <w:r w:rsidR="006A77A8" w:rsidRPr="00AB6B4D">
        <w:t xml:space="preserve">reușit să mențină </w:t>
      </w:r>
      <w:r w:rsidR="00190BD3" w:rsidRPr="00AB6B4D">
        <w:t>rate</w:t>
      </w:r>
      <w:r w:rsidR="006A77A8" w:rsidRPr="00AB6B4D">
        <w:t xml:space="preserve">le </w:t>
      </w:r>
      <w:r w:rsidR="00190BD3" w:rsidRPr="00AB6B4D">
        <w:t xml:space="preserve">dobânzii </w:t>
      </w:r>
      <w:r w:rsidRPr="00AB6B4D">
        <w:t xml:space="preserve">din aceste țări </w:t>
      </w:r>
      <w:r w:rsidR="006A77A8" w:rsidRPr="00AB6B4D">
        <w:t xml:space="preserve">la niveluri </w:t>
      </w:r>
      <w:r w:rsidR="00190BD3" w:rsidRPr="00AB6B4D">
        <w:t>reale negative</w:t>
      </w:r>
      <w:r w:rsidRPr="00AB6B4D">
        <w:t>.</w:t>
      </w:r>
      <w:r w:rsidR="00190BD3" w:rsidRPr="00AB6B4D">
        <w:t xml:space="preserve"> Ele nu au reușit însă să le reducă suficient pentru a aduce creșterea economică la potențial. </w:t>
      </w:r>
      <w:r w:rsidRPr="00AB6B4D">
        <w:t>N</w:t>
      </w:r>
      <w:r w:rsidR="00190BD3" w:rsidRPr="00AB6B4D">
        <w:t>oi</w:t>
      </w:r>
      <w:r w:rsidRPr="00AB6B4D">
        <w:t>le</w:t>
      </w:r>
      <w:r w:rsidR="00190BD3" w:rsidRPr="00AB6B4D">
        <w:t xml:space="preserve"> relaxări cantitative vor fi necesare </w:t>
      </w:r>
      <w:r w:rsidRPr="00AB6B4D">
        <w:t xml:space="preserve">în </w:t>
      </w:r>
      <w:r w:rsidR="00396B4D" w:rsidRPr="00AB6B4D">
        <w:t>cantități</w:t>
      </w:r>
      <w:r w:rsidR="00977FC2" w:rsidRPr="00AB6B4D">
        <w:t>le</w:t>
      </w:r>
      <w:r w:rsidRPr="00AB6B4D">
        <w:t xml:space="preserve"> care </w:t>
      </w:r>
      <w:r w:rsidR="00977FC2" w:rsidRPr="00AB6B4D">
        <w:t>să asigure că</w:t>
      </w:r>
      <w:r w:rsidR="00CA6A75" w:rsidRPr="00AB6B4D">
        <w:t xml:space="preserve"> ratele </w:t>
      </w:r>
      <w:r w:rsidR="00977FC2" w:rsidRPr="00AB6B4D">
        <w:t xml:space="preserve">reale ale </w:t>
      </w:r>
      <w:r w:rsidR="00CA6A75" w:rsidRPr="00AB6B4D">
        <w:t xml:space="preserve">dobânzii vor </w:t>
      </w:r>
      <w:r w:rsidR="00977FC2" w:rsidRPr="00AB6B4D">
        <w:t>continua să scadă</w:t>
      </w:r>
      <w:r w:rsidR="00565C99" w:rsidRPr="00AB6B4D">
        <w:t xml:space="preserve"> pentru a stimula în continuarecererea agregată în aceste țări</w:t>
      </w:r>
      <w:r w:rsidR="00B45729" w:rsidRPr="00AB6B4D">
        <w:t>.</w:t>
      </w:r>
      <w:r w:rsidR="00052234" w:rsidRPr="00AB6B4D">
        <w:t>Chiar și după dispariția șocului deflaționist, politica monetară va trebui să continue să stimuleze economia, indiferent de nivelul prețurilor în viitor (Eggertson șiWoodford, 2003).</w:t>
      </w:r>
    </w:p>
    <w:p w:rsidR="00857D77" w:rsidRPr="00AB6B4D" w:rsidRDefault="006B11BE" w:rsidP="00392D80">
      <w:pPr>
        <w:pStyle w:val="ListParagraph"/>
        <w:numPr>
          <w:ilvl w:val="0"/>
          <w:numId w:val="3"/>
        </w:numPr>
        <w:spacing w:line="360" w:lineRule="auto"/>
        <w:rPr>
          <w:i/>
          <w:sz w:val="24"/>
          <w:szCs w:val="24"/>
          <w:lang w:val="ro-RO"/>
        </w:rPr>
      </w:pPr>
      <w:r w:rsidRPr="00AB6B4D">
        <w:rPr>
          <w:i/>
          <w:sz w:val="24"/>
          <w:szCs w:val="24"/>
          <w:lang w:val="ro-RO"/>
        </w:rPr>
        <w:t>Relaxările cantitative</w:t>
      </w:r>
      <w:r w:rsidR="00B45729" w:rsidRPr="00AB6B4D">
        <w:rPr>
          <w:i/>
          <w:sz w:val="24"/>
          <w:szCs w:val="24"/>
          <w:lang w:val="ro-RO"/>
        </w:rPr>
        <w:t xml:space="preserve">, pierderile </w:t>
      </w:r>
      <w:r w:rsidR="00857D77" w:rsidRPr="00AB6B4D">
        <w:rPr>
          <w:i/>
          <w:sz w:val="24"/>
          <w:szCs w:val="24"/>
          <w:lang w:val="ro-RO"/>
        </w:rPr>
        <w:t xml:space="preserve"> și independența băncii centrale </w:t>
      </w:r>
    </w:p>
    <w:p w:rsidR="00B27AE7" w:rsidRPr="00AB6B4D" w:rsidRDefault="00603621" w:rsidP="006E1599">
      <w:pPr>
        <w:spacing w:line="360" w:lineRule="auto"/>
      </w:pPr>
      <w:r w:rsidRPr="00AB6B4D">
        <w:t xml:space="preserve">În timp ce ajută </w:t>
      </w:r>
      <w:r w:rsidR="00FE22E7" w:rsidRPr="00AB6B4D">
        <w:t>relansarea c</w:t>
      </w:r>
      <w:r w:rsidR="00955B70" w:rsidRPr="00AB6B4D">
        <w:t xml:space="preserve">ererii, </w:t>
      </w:r>
      <w:r w:rsidRPr="00AB6B4D">
        <w:t xml:space="preserve">relaxările cantitative </w:t>
      </w:r>
      <w:r w:rsidR="00955B70" w:rsidRPr="00AB6B4D">
        <w:t>pot duce</w:t>
      </w:r>
      <w:r w:rsidR="00FE22E7" w:rsidRPr="00AB6B4D">
        <w:t xml:space="preserve"> la </w:t>
      </w:r>
      <w:r w:rsidR="00B027C7" w:rsidRPr="00AB6B4D">
        <w:t xml:space="preserve">constrângerea (sau chiar </w:t>
      </w:r>
      <w:r w:rsidR="00FE22E7" w:rsidRPr="00AB6B4D">
        <w:t>pierderea</w:t>
      </w:r>
      <w:r w:rsidR="00B027C7" w:rsidRPr="00AB6B4D">
        <w:t>)</w:t>
      </w:r>
      <w:r w:rsidR="00CB10FC" w:rsidRPr="00AB6B4D">
        <w:t>i</w:t>
      </w:r>
      <w:r w:rsidR="0018000B" w:rsidRPr="00AB6B4D">
        <w:t>ndependenței operaționale a</w:t>
      </w:r>
      <w:r w:rsidR="00981E71" w:rsidRPr="00AB6B4D">
        <w:t xml:space="preserve"> băncii centrale</w:t>
      </w:r>
      <w:r w:rsidR="00955B70" w:rsidRPr="00AB6B4D">
        <w:t xml:space="preserve">. </w:t>
      </w:r>
      <w:r w:rsidR="00CC43D4" w:rsidRPr="00AB6B4D">
        <w:t>Aceasta ar însemna că</w:t>
      </w:r>
      <w:r w:rsidR="00A11C7D" w:rsidRPr="00AB6B4D">
        <w:t xml:space="preserve">banca centrală </w:t>
      </w:r>
      <w:r w:rsidR="00AE24FA" w:rsidRPr="00AB6B4D">
        <w:t xml:space="preserve">nu ar mai putea stabili independent rata dobânzii (sau  orice alt instrument operațional) pentru a atinge ținta de inflație. </w:t>
      </w:r>
    </w:p>
    <w:p w:rsidR="00AE24FA" w:rsidRPr="00AB6B4D" w:rsidRDefault="00B27AE7" w:rsidP="006E1599">
      <w:pPr>
        <w:spacing w:line="360" w:lineRule="auto"/>
      </w:pPr>
      <w:r w:rsidRPr="00AB6B4D">
        <w:t>Este greu de imaginat că</w:t>
      </w:r>
      <w:r w:rsidR="00653414">
        <w:t>,</w:t>
      </w:r>
      <w:r w:rsidRPr="00AB6B4D">
        <w:t xml:space="preserve"> odată constrânsă în țările dezvoltate, independența băncilor centrale ar putea supraviețui în economiile emergente. Astfel, ceea ce astăzi pare să fie o îngrijorare specifică țărilor dezvoltate devine o îngrijorare care privește toate economiile. </w:t>
      </w:r>
      <w:r w:rsidR="00B027C7" w:rsidRPr="00AB6B4D">
        <w:lastRenderedPageBreak/>
        <w:t>Constrângerea</w:t>
      </w:r>
      <w:r w:rsidR="00642EC9">
        <w:t xml:space="preserve"> </w:t>
      </w:r>
      <w:r w:rsidR="00CC43D4" w:rsidRPr="00AB6B4D">
        <w:t xml:space="preserve">independenței </w:t>
      </w:r>
      <w:r w:rsidR="00AE24FA" w:rsidRPr="00AB6B4D">
        <w:t xml:space="preserve">poate surveni </w:t>
      </w:r>
      <w:r w:rsidR="00D16624" w:rsidRPr="00AB6B4D">
        <w:t>pe două rute: una pur economică și alta politică.</w:t>
      </w:r>
      <w:r w:rsidR="00BF614F" w:rsidRPr="00AB6B4D">
        <w:t>În acest paragraf</w:t>
      </w:r>
      <w:r w:rsidR="00B027C7" w:rsidRPr="00AB6B4D">
        <w:t>,</w:t>
      </w:r>
      <w:r w:rsidR="00BF614F" w:rsidRPr="00AB6B4D">
        <w:t xml:space="preserve"> discutăm despre ruta economică, ruta politică fiind abordată în paragraful următor.</w:t>
      </w:r>
    </w:p>
    <w:p w:rsidR="0048754B" w:rsidRPr="00AB6B4D" w:rsidRDefault="00603621" w:rsidP="006E1599">
      <w:pPr>
        <w:spacing w:line="360" w:lineRule="auto"/>
      </w:pPr>
      <w:r w:rsidRPr="00AB6B4D">
        <w:t>Pe ruta economică</w:t>
      </w:r>
      <w:r w:rsidR="0018000B" w:rsidRPr="00AB6B4D">
        <w:t>,</w:t>
      </w:r>
      <w:r w:rsidRPr="00AB6B4D">
        <w:t xml:space="preserve"> independența ar putea fi afectată </w:t>
      </w:r>
      <w:r w:rsidR="006318E3" w:rsidRPr="00AB6B4D">
        <w:t>de pierderile</w:t>
      </w:r>
      <w:r w:rsidR="00885622">
        <w:t xml:space="preserve"> </w:t>
      </w:r>
      <w:r w:rsidR="00B027C7" w:rsidRPr="00AB6B4D">
        <w:t>fin</w:t>
      </w:r>
      <w:r w:rsidR="00C07FBB" w:rsidRPr="00AB6B4D">
        <w:t>a</w:t>
      </w:r>
      <w:r w:rsidR="00B027C7" w:rsidRPr="00AB6B4D">
        <w:t>nc</w:t>
      </w:r>
      <w:r w:rsidR="00C07FBB" w:rsidRPr="00AB6B4D">
        <w:t xml:space="preserve">iare </w:t>
      </w:r>
      <w:r w:rsidR="00D05C54">
        <w:t>c</w:t>
      </w:r>
      <w:r w:rsidRPr="00AB6B4D">
        <w:t>e ar putea apărea</w:t>
      </w:r>
      <w:r w:rsidR="00A02899" w:rsidRPr="00AB6B4D">
        <w:t xml:space="preserve"> în bilanțurile băncilor centrale</w:t>
      </w:r>
      <w:r w:rsidR="003B5E2A">
        <w:t xml:space="preserve"> </w:t>
      </w:r>
      <w:r w:rsidR="00144323" w:rsidRPr="00AB6B4D">
        <w:t>de la cumpărarea de bonduri</w:t>
      </w:r>
      <w:r w:rsidR="0048754B" w:rsidRPr="00AB6B4D">
        <w:t>,</w:t>
      </w:r>
      <w:r w:rsidR="00144323" w:rsidRPr="00AB6B4D">
        <w:t xml:space="preserve"> și</w:t>
      </w:r>
      <w:r w:rsidR="003A260F" w:rsidRPr="00AB6B4D">
        <w:t>/sau</w:t>
      </w:r>
      <w:r w:rsidR="00144323" w:rsidRPr="00AB6B4D">
        <w:t xml:space="preserve"> de la operațiile cvasifiscale. </w:t>
      </w:r>
      <w:r w:rsidR="0048754B" w:rsidRPr="00AB6B4D">
        <w:t>Indiferent de sursa lor, pierderile mari interferează cu atingerea obiectivului politicii monetare (stabilitatea prețurilor). Dacă pierderile sunt foarte mari, banca își pierde credibilitatea</w:t>
      </w:r>
      <w:r w:rsidR="00FC1855">
        <w:t>. În acest caz, așa cum subliniază John Nugee, „odată ce populația își pierde încrederea în banca lor centrală, este extrem de dificil de construit un plan B funcțional.” D</w:t>
      </w:r>
      <w:r w:rsidR="0048754B" w:rsidRPr="00AB6B4D">
        <w:t xml:space="preserve">in acest motiv, </w:t>
      </w:r>
      <w:r w:rsidR="00FC1855">
        <w:t xml:space="preserve">banca centrală </w:t>
      </w:r>
      <w:r w:rsidR="0048754B" w:rsidRPr="00AB6B4D">
        <w:t xml:space="preserve">nu mai poate </w:t>
      </w:r>
      <w:r w:rsidR="00C07FBB" w:rsidRPr="00AB6B4D">
        <w:t xml:space="preserve">ancora anticipațiile inflaționiste. </w:t>
      </w:r>
      <w:r w:rsidR="0048754B" w:rsidRPr="00AB6B4D">
        <w:t xml:space="preserve">Independența se </w:t>
      </w:r>
      <w:r w:rsidR="00B027C7" w:rsidRPr="00AB6B4D">
        <w:t>erodează</w:t>
      </w:r>
      <w:r w:rsidR="0048754B" w:rsidRPr="00AB6B4D">
        <w:t xml:space="preserve"> deoarece banca centrală devine dependentă de guvern pentru refacerea capitalului.</w:t>
      </w:r>
    </w:p>
    <w:p w:rsidR="00CA33DE" w:rsidRPr="00AB6B4D" w:rsidRDefault="00B4722C" w:rsidP="006E1599">
      <w:pPr>
        <w:spacing w:line="360" w:lineRule="auto"/>
      </w:pPr>
      <w:r w:rsidRPr="00AB6B4D">
        <w:t xml:space="preserve">Stella (2010) a arătat că </w:t>
      </w:r>
      <w:r w:rsidR="00B027C7" w:rsidRPr="00AB6B4D">
        <w:t>eventualele pierderi ale</w:t>
      </w:r>
      <w:r w:rsidRPr="00AB6B4D">
        <w:t xml:space="preserve"> băncilor centrale din țările dezvoltate nu</w:t>
      </w:r>
      <w:r w:rsidR="00B027C7" w:rsidRPr="00AB6B4D">
        <w:t xml:space="preserve"> ar fi</w:t>
      </w:r>
      <w:r w:rsidRPr="00AB6B4D">
        <w:t xml:space="preserve"> o problemă</w:t>
      </w:r>
      <w:r w:rsidR="00B027C7" w:rsidRPr="00AB6B4D">
        <w:t>. V</w:t>
      </w:r>
      <w:r w:rsidRPr="00AB6B4D">
        <w:t xml:space="preserve">eniturile din emisiunile de monedă sunt </w:t>
      </w:r>
      <w:r w:rsidR="00621BA8" w:rsidRPr="00AB6B4D">
        <w:t xml:space="preserve">suficient de </w:t>
      </w:r>
      <w:r w:rsidRPr="00AB6B4D">
        <w:t xml:space="preserve">mari </w:t>
      </w:r>
      <w:r w:rsidR="00621BA8" w:rsidRPr="00AB6B4D">
        <w:t>pentru a</w:t>
      </w:r>
      <w:r w:rsidRPr="00AB6B4D">
        <w:t xml:space="preserve"> limita</w:t>
      </w:r>
      <w:r w:rsidR="00B027C7" w:rsidRPr="00AB6B4D">
        <w:t xml:space="preserve"> la niveluri irelevante</w:t>
      </w:r>
      <w:r w:rsidRPr="00AB6B4D">
        <w:t xml:space="preserve"> eventuale pierderi care ar </w:t>
      </w:r>
      <w:r w:rsidR="00B027C7" w:rsidRPr="00AB6B4D">
        <w:t xml:space="preserve">putea </w:t>
      </w:r>
      <w:r w:rsidRPr="00AB6B4D">
        <w:t>apăr</w:t>
      </w:r>
      <w:r w:rsidR="00B027C7" w:rsidRPr="00AB6B4D">
        <w:t>e</w:t>
      </w:r>
      <w:r w:rsidRPr="00AB6B4D">
        <w:t xml:space="preserve">a din operațiile cvasifiscale. Într-adevăr, în țările dezvoltate, băncile centrale sunt creditori neți și fac venituri nu numai din seignorage, dar și din tranzacțiile clasice cu băncile comerciale. </w:t>
      </w:r>
    </w:p>
    <w:p w:rsidR="00B4722C" w:rsidRPr="00AB6B4D" w:rsidRDefault="00B4722C" w:rsidP="006E1599">
      <w:pPr>
        <w:spacing w:line="360" w:lineRule="auto"/>
      </w:pPr>
      <w:r w:rsidRPr="00AB6B4D">
        <w:t>Mai mult, în prezent,</w:t>
      </w:r>
      <w:r w:rsidR="003A260F" w:rsidRPr="00AB6B4D">
        <w:t xml:space="preserve"> deținerile</w:t>
      </w:r>
      <w:r w:rsidRPr="00AB6B4D">
        <w:t xml:space="preserve"> de bonduri guvernamentale produc profituri</w:t>
      </w:r>
      <w:r w:rsidR="00C86529" w:rsidRPr="00AB6B4D">
        <w:t xml:space="preserve"> potențiale </w:t>
      </w:r>
      <w:r w:rsidR="00C86EBD" w:rsidRPr="00AB6B4D">
        <w:t xml:space="preserve">istoric </w:t>
      </w:r>
      <w:r w:rsidR="00C86529" w:rsidRPr="00AB6B4D">
        <w:t>anormal de mari</w:t>
      </w:r>
      <w:r w:rsidRPr="00AB6B4D">
        <w:t xml:space="preserve">. </w:t>
      </w:r>
      <w:r w:rsidR="00C86EBD" w:rsidRPr="00AB6B4D">
        <w:t>Acest lucru se întâmplă deoarece c</w:t>
      </w:r>
      <w:r w:rsidR="00CF423A" w:rsidRPr="00AB6B4D">
        <w:t>urba randamentelor a avut o pantă destul de</w:t>
      </w:r>
      <w:r w:rsidR="002B48AD" w:rsidRPr="00AB6B4D">
        <w:t xml:space="preserve"> accentuată la începutul crizei.</w:t>
      </w:r>
      <w:r w:rsidR="009C343F">
        <w:t xml:space="preserve"> </w:t>
      </w:r>
      <w:r w:rsidR="002B48AD" w:rsidRPr="00AB6B4D">
        <w:t>B</w:t>
      </w:r>
      <w:r w:rsidR="00CF423A" w:rsidRPr="00AB6B4D">
        <w:t>ondurile cu scadențe pe termen lung</w:t>
      </w:r>
      <w:r w:rsidR="00CA33DE" w:rsidRPr="00AB6B4D">
        <w:t xml:space="preserve"> au</w:t>
      </w:r>
      <w:r w:rsidR="00CF423A" w:rsidRPr="00AB6B4D">
        <w:t xml:space="preserve"> fost finanțate</w:t>
      </w:r>
      <w:r w:rsidR="00CA33DE" w:rsidRPr="00AB6B4D">
        <w:t xml:space="preserve"> cu rezerve în exces</w:t>
      </w:r>
      <w:r w:rsidR="00B45729" w:rsidRPr="00AB6B4D">
        <w:t>, ale căror</w:t>
      </w:r>
      <w:r w:rsidR="00CA33DE" w:rsidRPr="00AB6B4D">
        <w:t xml:space="preserve"> costuri </w:t>
      </w:r>
      <w:r w:rsidR="00B45729" w:rsidRPr="00AB6B4D">
        <w:t xml:space="preserve">sunt </w:t>
      </w:r>
      <w:r w:rsidR="00CA33DE" w:rsidRPr="00AB6B4D">
        <w:t xml:space="preserve">aproape zero. </w:t>
      </w:r>
      <w:r w:rsidR="00C86529" w:rsidRPr="00AB6B4D">
        <w:t>Materializarea unora dintre aceste profituri</w:t>
      </w:r>
      <w:r w:rsidR="003A260F" w:rsidRPr="00AB6B4D">
        <w:t>va</w:t>
      </w:r>
      <w:r w:rsidR="007E6637" w:rsidRPr="00AB6B4D">
        <w:t xml:space="preserve"> alimenta fondurile proprii ale băncilor centrale</w:t>
      </w:r>
      <w:r w:rsidR="00B45729" w:rsidRPr="00AB6B4D">
        <w:t>, m</w:t>
      </w:r>
      <w:r w:rsidR="00C86529" w:rsidRPr="00AB6B4D">
        <w:t xml:space="preserve">ărind capacitatea de a absorbi </w:t>
      </w:r>
      <w:r w:rsidR="00B45729" w:rsidRPr="00AB6B4D">
        <w:t>eventuale pierderi viitoare</w:t>
      </w:r>
      <w:r w:rsidR="007E6637" w:rsidRPr="00AB6B4D">
        <w:t xml:space="preserve">. </w:t>
      </w:r>
      <w:r w:rsidR="00CA33DE" w:rsidRPr="00AB6B4D">
        <w:t xml:space="preserve">Pe măsură ce </w:t>
      </w:r>
      <w:r w:rsidR="003A260F" w:rsidRPr="00AB6B4D">
        <w:t>relaxările cantitative vor</w:t>
      </w:r>
      <w:r w:rsidR="002B48AD" w:rsidRPr="00AB6B4D">
        <w:t xml:space="preserve"> aplatiza </w:t>
      </w:r>
      <w:r w:rsidR="00CA33DE" w:rsidRPr="00AB6B4D">
        <w:t xml:space="preserve">curba randamentelor, </w:t>
      </w:r>
      <w:r w:rsidR="003A260F" w:rsidRPr="00AB6B4D">
        <w:t>profiturile</w:t>
      </w:r>
      <w:r w:rsidR="002B48AD" w:rsidRPr="00AB6B4D">
        <w:t xml:space="preserve">potențiale </w:t>
      </w:r>
      <w:r w:rsidR="00CA33DE" w:rsidRPr="00AB6B4D">
        <w:t>din astfel de operațiun</w:t>
      </w:r>
      <w:r w:rsidR="00B45729" w:rsidRPr="00AB6B4D">
        <w:t>i</w:t>
      </w:r>
      <w:r w:rsidR="00CA33DE" w:rsidRPr="00AB6B4D">
        <w:t xml:space="preserve"> vor scădea, </w:t>
      </w:r>
      <w:r w:rsidR="003A260F" w:rsidRPr="00AB6B4D">
        <w:t>rămânând însă</w:t>
      </w:r>
      <w:r w:rsidR="00CA33DE" w:rsidRPr="00AB6B4D">
        <w:t xml:space="preserve"> pozitive </w:t>
      </w:r>
      <w:r w:rsidR="00C86EBD" w:rsidRPr="00AB6B4D">
        <w:t xml:space="preserve">atât timp cât costul rezervelor în exces </w:t>
      </w:r>
      <w:r w:rsidR="003A260F" w:rsidRPr="00AB6B4D">
        <w:t xml:space="preserve">se </w:t>
      </w:r>
      <w:r w:rsidR="00C86EBD" w:rsidRPr="00AB6B4D">
        <w:t xml:space="preserve">va </w:t>
      </w:r>
      <w:r w:rsidR="003A260F" w:rsidRPr="00AB6B4D">
        <w:t>menține</w:t>
      </w:r>
      <w:r w:rsidR="00C86EBD" w:rsidRPr="00AB6B4D">
        <w:t xml:space="preserve"> scăzut.</w:t>
      </w:r>
    </w:p>
    <w:p w:rsidR="00BA619C" w:rsidRPr="00AB6B4D" w:rsidRDefault="00B4722C" w:rsidP="006E1599">
      <w:pPr>
        <w:spacing w:line="360" w:lineRule="auto"/>
      </w:pPr>
      <w:r w:rsidRPr="00AB6B4D">
        <w:t>Totuși, la un moment dat, preferința pentru lichiditate a băncilor</w:t>
      </w:r>
      <w:r w:rsidR="00BA619C" w:rsidRPr="00AB6B4D">
        <w:t xml:space="preserve">, </w:t>
      </w:r>
      <w:r w:rsidR="00621BA8" w:rsidRPr="00AB6B4D">
        <w:t>mutată de criză la niv</w:t>
      </w:r>
      <w:r w:rsidR="00B027C7" w:rsidRPr="00AB6B4D">
        <w:t xml:space="preserve">eluri </w:t>
      </w:r>
      <w:r w:rsidR="00930B70" w:rsidRPr="00AB6B4D">
        <w:t>istoric anormal de</w:t>
      </w:r>
      <w:r w:rsidR="00621BA8" w:rsidRPr="00AB6B4D">
        <w:t xml:space="preserve"> mari, </w:t>
      </w:r>
      <w:r w:rsidRPr="00AB6B4D">
        <w:t xml:space="preserve">va scădea. Atunci, băncile vor începe să utilizeze rezervele în exces, pe care astăzi le parchează la banca centrală, pentru a credita sectorul real și pentru a finanța diverse operații financiare. Când acest lucru se va întâmpla, </w:t>
      </w:r>
      <w:r w:rsidR="00CF423A" w:rsidRPr="00AB6B4D">
        <w:t xml:space="preserve">băncile centrale vor trebui să crească rata dobânzii pe termen scurt. Pentru aceasta, ele vor trebui să </w:t>
      </w:r>
      <w:r w:rsidR="007C124F" w:rsidRPr="00AB6B4D">
        <w:t>vândă titluriledisponibile în bilanțurile lor</w:t>
      </w:r>
      <w:r w:rsidRPr="00AB6B4D">
        <w:t xml:space="preserve"> în cantități fără precedent</w:t>
      </w:r>
      <w:r w:rsidR="00621BA8" w:rsidRPr="00AB6B4D">
        <w:t>, pentru a ține inf</w:t>
      </w:r>
      <w:r w:rsidR="00CF423A" w:rsidRPr="00AB6B4D">
        <w:t>lația la niveluri relativ joase</w:t>
      </w:r>
      <w:r w:rsidR="00BA619C" w:rsidRPr="00AB6B4D">
        <w:t>.</w:t>
      </w:r>
    </w:p>
    <w:p w:rsidR="00882A1C" w:rsidRPr="00AB6B4D" w:rsidRDefault="00BA619C" w:rsidP="006E1599">
      <w:pPr>
        <w:spacing w:line="360" w:lineRule="auto"/>
      </w:pPr>
      <w:r w:rsidRPr="00AB6B4D">
        <w:lastRenderedPageBreak/>
        <w:t xml:space="preserve">Vânzarea </w:t>
      </w:r>
      <w:r w:rsidR="00555B30" w:rsidRPr="00AB6B4D">
        <w:t>tit</w:t>
      </w:r>
      <w:r w:rsidR="007C124F" w:rsidRPr="00AB6B4D">
        <w:t xml:space="preserve">lurilor </w:t>
      </w:r>
      <w:r w:rsidRPr="00AB6B4D">
        <w:t xml:space="preserve">va duce la scăderea valorii </w:t>
      </w:r>
      <w:r w:rsidR="007C124F" w:rsidRPr="00AB6B4D">
        <w:t>lor</w:t>
      </w:r>
      <w:r w:rsidRPr="00AB6B4D">
        <w:t xml:space="preserve"> și</w:t>
      </w:r>
      <w:r w:rsidR="00882A1C" w:rsidRPr="00AB6B4D">
        <w:t xml:space="preserve"> ar putea genera </w:t>
      </w:r>
      <w:r w:rsidRPr="00AB6B4D">
        <w:t>pierderi</w:t>
      </w:r>
      <w:r w:rsidR="00882A1C" w:rsidRPr="00AB6B4D">
        <w:t xml:space="preserve"> în bilanțurile</w:t>
      </w:r>
      <w:r w:rsidRPr="00AB6B4D">
        <w:t xml:space="preserve"> băncilor centrale</w:t>
      </w:r>
      <w:r w:rsidR="0021548F">
        <w:t>, ca și altor deținători de bonduri</w:t>
      </w:r>
      <w:r w:rsidR="0021548F">
        <w:rPr>
          <w:rStyle w:val="FootnoteReference"/>
        </w:rPr>
        <w:footnoteReference w:id="9"/>
      </w:r>
      <w:r w:rsidR="00B45729" w:rsidRPr="00AB6B4D">
        <w:t xml:space="preserve">. Pierderile ar </w:t>
      </w:r>
      <w:r w:rsidR="00506E07">
        <w:t xml:space="preserve">putea </w:t>
      </w:r>
      <w:r w:rsidR="00B45729" w:rsidRPr="00AB6B4D">
        <w:t>fi</w:t>
      </w:r>
      <w:r w:rsidRPr="00AB6B4D">
        <w:t xml:space="preserve"> cu </w:t>
      </w:r>
      <w:r w:rsidR="00B45729" w:rsidRPr="00AB6B4D">
        <w:t xml:space="preserve">atît mai mari cu cât mai </w:t>
      </w:r>
      <w:r w:rsidR="00C86EBD" w:rsidRPr="00AB6B4D">
        <w:t>abrupte</w:t>
      </w:r>
      <w:r w:rsidR="00B45729" w:rsidRPr="00AB6B4D">
        <w:t xml:space="preserve"> vor</w:t>
      </w:r>
      <w:r w:rsidR="00C86EBD" w:rsidRPr="00AB6B4D">
        <w:t xml:space="preserve"> fi, pe de o parte</w:t>
      </w:r>
      <w:r w:rsidR="00506E07">
        <w:t>,</w:t>
      </w:r>
      <w:r w:rsidRPr="00AB6B4D">
        <w:t>scăderea în preferința pentru lichiditate a băncilor comerciale</w:t>
      </w:r>
      <w:r w:rsidR="00506E07">
        <w:t xml:space="preserve"> (Croitoru, 2012) (</w:t>
      </w:r>
      <w:r w:rsidR="00C86EBD" w:rsidRPr="00AB6B4D">
        <w:t xml:space="preserve">care ar putea inversa </w:t>
      </w:r>
      <w:r w:rsidR="00506E07">
        <w:t>temporar curba randamentelor)</w:t>
      </w:r>
      <w:r w:rsidR="00826455" w:rsidRPr="00AB6B4D">
        <w:t xml:space="preserve"> și</w:t>
      </w:r>
      <w:r w:rsidR="00C86EBD" w:rsidRPr="00AB6B4D">
        <w:t>, pe de altă parte</w:t>
      </w:r>
      <w:r w:rsidR="00506E07">
        <w:t>,</w:t>
      </w:r>
      <w:r w:rsidR="00826455" w:rsidRPr="00AB6B4D">
        <w:t xml:space="preserve"> volumul bondurilor cu scadențe lungi</w:t>
      </w:r>
      <w:r w:rsidRPr="00AB6B4D">
        <w:t xml:space="preserve">. </w:t>
      </w:r>
      <w:r w:rsidR="00B45729" w:rsidRPr="00AB6B4D">
        <w:t xml:space="preserve">Totuși, încă înainte ca preferința pentru lichiditate să scadă și ratele </w:t>
      </w:r>
      <w:r w:rsidR="00B739C1" w:rsidRPr="00AB6B4D">
        <w:t xml:space="preserve">dobânzii să crească, vor avea loc ajustări în deținerea de titluri. </w:t>
      </w:r>
      <w:r w:rsidR="004C36C2" w:rsidRPr="00AB6B4D">
        <w:t>Dacă maturitățile</w:t>
      </w:r>
      <w:r w:rsidR="00882A1C" w:rsidRPr="00AB6B4D">
        <w:t xml:space="preserve"> titlurilor cumpărate </w:t>
      </w:r>
      <w:r w:rsidR="004C36C2" w:rsidRPr="00AB6B4D">
        <w:t>sunt relativ scurte</w:t>
      </w:r>
      <w:r w:rsidR="00882A1C" w:rsidRPr="00AB6B4D">
        <w:t xml:space="preserve">, multe din aceste titluri </w:t>
      </w:r>
      <w:r w:rsidR="007E6637" w:rsidRPr="00AB6B4D">
        <w:t xml:space="preserve">vor fi ajuns </w:t>
      </w:r>
      <w:r w:rsidR="00882A1C" w:rsidRPr="00AB6B4D">
        <w:t>la scadență încă înainte ca preferința pentru lichiditate să scadă</w:t>
      </w:r>
      <w:r w:rsidR="004619A8" w:rsidRPr="00AB6B4D">
        <w:t>, fără a</w:t>
      </w:r>
      <w:r w:rsidR="00882A1C" w:rsidRPr="00AB6B4D">
        <w:t xml:space="preserve"> produce pierderi</w:t>
      </w:r>
      <w:r w:rsidR="004C36C2" w:rsidRPr="00AB6B4D">
        <w:rPr>
          <w:rStyle w:val="FootnoteReference"/>
        </w:rPr>
        <w:footnoteReference w:id="10"/>
      </w:r>
      <w:r w:rsidR="00882A1C" w:rsidRPr="00AB6B4D">
        <w:t xml:space="preserve">. </w:t>
      </w:r>
      <w:r w:rsidR="007E6637" w:rsidRPr="00AB6B4D">
        <w:t xml:space="preserve">Mai mult, volumul deținerilor de bonduri poate fi </w:t>
      </w:r>
      <w:r w:rsidR="00CA437D">
        <w:t xml:space="preserve">temporar modificat </w:t>
      </w:r>
      <w:r w:rsidR="007E6637" w:rsidRPr="00AB6B4D">
        <w:t xml:space="preserve"> prin tranzacții </w:t>
      </w:r>
      <w:r w:rsidR="00CA437D" w:rsidRPr="00CA437D">
        <w:rPr>
          <w:i/>
        </w:rPr>
        <w:t>reverse-</w:t>
      </w:r>
      <w:r w:rsidR="007E6637" w:rsidRPr="00CA437D">
        <w:rPr>
          <w:i/>
        </w:rPr>
        <w:t>repo</w:t>
      </w:r>
      <w:r w:rsidR="007E6637" w:rsidRPr="00AB6B4D">
        <w:t xml:space="preserve">. </w:t>
      </w:r>
    </w:p>
    <w:p w:rsidR="00444F86" w:rsidRPr="00AB6B4D" w:rsidRDefault="00882A1C" w:rsidP="006E1599">
      <w:pPr>
        <w:spacing w:line="360" w:lineRule="auto"/>
      </w:pPr>
      <w:r w:rsidRPr="00AB6B4D">
        <w:t>Pierderile vor apărea doar dacă scăderea rapidă a preferinței pentru lichiditate</w:t>
      </w:r>
      <w:r w:rsidR="004619A8" w:rsidRPr="00AB6B4D">
        <w:t xml:space="preserve"> va</w:t>
      </w:r>
      <w:r w:rsidRPr="00AB6B4D">
        <w:t xml:space="preserve"> coexista </w:t>
      </w:r>
      <w:r w:rsidR="004619A8" w:rsidRPr="00AB6B4D">
        <w:t>pentru ceva timp cu o pondere mare a titlurilor cu scadențe relativ lungi</w:t>
      </w:r>
      <w:r w:rsidRPr="00AB6B4D">
        <w:t xml:space="preserve">. </w:t>
      </w:r>
      <w:r w:rsidR="007C124F" w:rsidRPr="00AB6B4D">
        <w:t>În acest raționament</w:t>
      </w:r>
      <w:r w:rsidR="00621BA8" w:rsidRPr="00AB6B4D">
        <w:t>,</w:t>
      </w:r>
      <w:r w:rsidR="007C124F" w:rsidRPr="00AB6B4D">
        <w:t xml:space="preserve"> lungimea scadențelor nu este judecată relativ la alte instrumente, ci </w:t>
      </w:r>
      <w:r w:rsidR="00444F86" w:rsidRPr="00AB6B4D">
        <w:t xml:space="preserve">relativ </w:t>
      </w:r>
      <w:r w:rsidR="007C124F" w:rsidRPr="00AB6B4D">
        <w:t xml:space="preserve">la </w:t>
      </w:r>
      <w:r w:rsidR="00621BA8" w:rsidRPr="00AB6B4D">
        <w:t>lungimea perioadei pentru care, eventual, preferința</w:t>
      </w:r>
      <w:r w:rsidR="007C124F" w:rsidRPr="00AB6B4D">
        <w:t xml:space="preserve"> pentru lichiditate</w:t>
      </w:r>
      <w:r w:rsidR="00621BA8" w:rsidRPr="00AB6B4D">
        <w:t xml:space="preserve"> va scădea foarte rapid</w:t>
      </w:r>
      <w:r w:rsidR="007C124F" w:rsidRPr="00AB6B4D">
        <w:t xml:space="preserve">. Cu cât mai rapidă este scăderea acestei preferințe, cu atât mai mare va fi ponderea titlurilor </w:t>
      </w:r>
      <w:r w:rsidR="00327321" w:rsidRPr="00AB6B4D">
        <w:t xml:space="preserve">cu scadențe relativ lungi. </w:t>
      </w:r>
      <w:r w:rsidR="006C6E21" w:rsidRPr="00AB6B4D">
        <w:t xml:space="preserve">În acest caz, pe măsură ce dobânda </w:t>
      </w:r>
      <w:r w:rsidR="00B739C1" w:rsidRPr="00AB6B4D">
        <w:t>de politică monetară va crește (</w:t>
      </w:r>
      <w:r w:rsidR="006C6E21" w:rsidRPr="00AB6B4D">
        <w:t>ceea ce se va reflecta și în creșterea ratelor dobânzii plătite la rezervele minime obligatorii</w:t>
      </w:r>
      <w:r w:rsidR="00B739C1" w:rsidRPr="00AB6B4D">
        <w:t>)</w:t>
      </w:r>
      <w:r w:rsidR="006C6E21" w:rsidRPr="00AB6B4D">
        <w:t>, deținerile de bonduri cu scadențe lungi și cu randamente reduse vor fi finanțate cu obligații pe termen scurt mai scumpe.</w:t>
      </w:r>
    </w:p>
    <w:p w:rsidR="00C40648" w:rsidRPr="00AB6B4D" w:rsidRDefault="0060358D" w:rsidP="006E1599">
      <w:pPr>
        <w:spacing w:line="360" w:lineRule="auto"/>
      </w:pPr>
      <w:r w:rsidRPr="00AB6B4D">
        <w:t>Bancherii centrali sunt încrezători că vor reuși să inverseze cumpărăril</w:t>
      </w:r>
      <w:r w:rsidR="002D05E7" w:rsidRPr="00AB6B4D">
        <w:t>e</w:t>
      </w:r>
      <w:r w:rsidRPr="00AB6B4D">
        <w:t xml:space="preserve"> d</w:t>
      </w:r>
      <w:r w:rsidR="00746B15">
        <w:t xml:space="preserve">e titluri de stat fără probleme, deși există și riscul ca banii injectați să nu poată fi retrași suficient de repede (Smaghi, 2012). </w:t>
      </w:r>
      <w:r w:rsidR="00444F86" w:rsidRPr="00AB6B4D">
        <w:t xml:space="preserve">Nu au existat însă episoade similare în istorie referitoare la inversarea </w:t>
      </w:r>
      <w:r w:rsidR="00444F86" w:rsidRPr="00AB6B4D">
        <w:lastRenderedPageBreak/>
        <w:t>cumpărărilor uriașe de bonduri</w:t>
      </w:r>
      <w:r w:rsidR="002844A1" w:rsidRPr="00AB6B4D">
        <w:t>, iar unele studii (Park, 2012) arată că această abordare ar putea fi prea optimistă.</w:t>
      </w:r>
    </w:p>
    <w:p w:rsidR="00CB1149" w:rsidRPr="00AB6B4D" w:rsidRDefault="0060358D" w:rsidP="006E1599">
      <w:pPr>
        <w:spacing w:line="360" w:lineRule="auto"/>
      </w:pPr>
      <w:r w:rsidRPr="00AB6B4D">
        <w:t>Deocamdată</w:t>
      </w:r>
      <w:r w:rsidR="00444F86" w:rsidRPr="00AB6B4D">
        <w:t>se poate spune</w:t>
      </w:r>
      <w:r w:rsidR="00451EEF">
        <w:t xml:space="preserve"> </w:t>
      </w:r>
      <w:r w:rsidRPr="00AB6B4D">
        <w:t xml:space="preserve">doar că nu știm </w:t>
      </w:r>
      <w:r w:rsidR="00327321" w:rsidRPr="00AB6B4D">
        <w:t xml:space="preserve">cât de rapidă va fi scăderea preferinței pentru lichiditate a băncilor. Dacă va fi graduală, atunci </w:t>
      </w:r>
      <w:r w:rsidR="00555B30" w:rsidRPr="00AB6B4D">
        <w:t>bondurile din activele băncilor centrale</w:t>
      </w:r>
      <w:r w:rsidR="00327321" w:rsidRPr="00AB6B4D">
        <w:t xml:space="preserve"> s-ar putea să nu producă pierderi care să nu </w:t>
      </w:r>
      <w:r w:rsidRPr="00AB6B4D">
        <w:t xml:space="preserve">poată fi </w:t>
      </w:r>
      <w:r w:rsidR="00327321" w:rsidRPr="00AB6B4D">
        <w:t>acoperite din seignorage</w:t>
      </w:r>
      <w:r w:rsidR="00621BA8" w:rsidRPr="00AB6B4D">
        <w:t>, fonduri proprii</w:t>
      </w:r>
      <w:r w:rsidR="00327321" w:rsidRPr="00AB6B4D">
        <w:t xml:space="preserve"> și </w:t>
      </w:r>
      <w:r w:rsidR="00621BA8" w:rsidRPr="00AB6B4D">
        <w:t>alte surse</w:t>
      </w:r>
      <w:r w:rsidR="00327321" w:rsidRPr="00AB6B4D">
        <w:t>.</w:t>
      </w:r>
      <w:r w:rsidR="00C07D32" w:rsidRPr="00AB6B4D">
        <w:t xml:space="preserve"> Astfel, cumpărarea de bonduri s-ar putea să nu ducă, pe ruta </w:t>
      </w:r>
      <w:r w:rsidR="00555B30" w:rsidRPr="00AB6B4D">
        <w:t>economică</w:t>
      </w:r>
      <w:r w:rsidR="00C07D32" w:rsidRPr="00AB6B4D">
        <w:t xml:space="preserve">, la </w:t>
      </w:r>
      <w:r w:rsidR="00B027C7" w:rsidRPr="00AB6B4D">
        <w:t>constrângerea</w:t>
      </w:r>
      <w:r w:rsidR="00C07D32" w:rsidRPr="00AB6B4D">
        <w:t xml:space="preserve"> independenței băncilor centrale. </w:t>
      </w:r>
    </w:p>
    <w:p w:rsidR="00F43664" w:rsidRPr="00AB6B4D" w:rsidRDefault="00C07D32" w:rsidP="006E1599">
      <w:pPr>
        <w:spacing w:line="360" w:lineRule="auto"/>
      </w:pPr>
      <w:r w:rsidRPr="00AB6B4D">
        <w:t xml:space="preserve">Nici operațiile cvasifiscale nu au, </w:t>
      </w:r>
      <w:r w:rsidR="00621BA8" w:rsidRPr="00AB6B4D">
        <w:t>intrinsec</w:t>
      </w:r>
      <w:r w:rsidRPr="00AB6B4D">
        <w:t>, potențialul de a duce la pierderea independenței operaționale a băncii centrale</w:t>
      </w:r>
      <w:r w:rsidR="00007D5B" w:rsidRPr="00AB6B4D">
        <w:t xml:space="preserve"> pe ruta economică</w:t>
      </w:r>
      <w:r w:rsidRPr="00AB6B4D">
        <w:t xml:space="preserve">. Operațiile cvasifiscale ar putea produce pierderi care să fie acoperite </w:t>
      </w:r>
      <w:r w:rsidR="0060358D" w:rsidRPr="00AB6B4D">
        <w:t>de veniturile</w:t>
      </w:r>
      <w:r w:rsidRPr="00AB6B4D">
        <w:t xml:space="preserve"> din seignorage, așa cum sugerează Stella</w:t>
      </w:r>
      <w:r w:rsidR="002D05E7" w:rsidRPr="00AB6B4D">
        <w:t xml:space="preserve"> (2010)</w:t>
      </w:r>
      <w:r w:rsidRPr="00AB6B4D">
        <w:t xml:space="preserve">. </w:t>
      </w:r>
      <w:r w:rsidR="00007D5B" w:rsidRPr="00AB6B4D">
        <w:t>Mai mult, ele s-</w:t>
      </w:r>
      <w:r w:rsidRPr="00AB6B4D">
        <w:t>ar putea dovedi chiar profitabile din punct</w:t>
      </w:r>
      <w:r w:rsidR="00007D5B" w:rsidRPr="00AB6B4D">
        <w:t xml:space="preserve"> de vedere contabil.</w:t>
      </w:r>
      <w:r w:rsidR="00AB6E36" w:rsidRPr="00AB6B4D">
        <w:t xml:space="preserve">Totuși, studii recente (Park, 2012) arată că posibilitatea producerii neintenționate a inflației are șanse </w:t>
      </w:r>
      <w:r w:rsidR="00D05C54">
        <w:t>semnificative</w:t>
      </w:r>
      <w:r w:rsidR="00AB6E36" w:rsidRPr="00AB6B4D">
        <w:t xml:space="preserve"> să se materializeze.</w:t>
      </w:r>
    </w:p>
    <w:p w:rsidR="00CB1149" w:rsidRPr="00AB6B4D" w:rsidRDefault="00B739C1" w:rsidP="00392D80">
      <w:pPr>
        <w:pStyle w:val="ListParagraph"/>
        <w:numPr>
          <w:ilvl w:val="0"/>
          <w:numId w:val="3"/>
        </w:numPr>
        <w:spacing w:line="360" w:lineRule="auto"/>
        <w:rPr>
          <w:i/>
          <w:sz w:val="24"/>
          <w:szCs w:val="24"/>
          <w:lang w:val="ro-RO"/>
        </w:rPr>
      </w:pPr>
      <w:r w:rsidRPr="00AB6B4D">
        <w:rPr>
          <w:i/>
          <w:sz w:val="24"/>
          <w:szCs w:val="24"/>
          <w:lang w:val="ro-RO"/>
        </w:rPr>
        <w:t>Operațiile cvasifiscale și independența</w:t>
      </w:r>
      <w:r w:rsidR="00C15B45" w:rsidRPr="00AB6B4D">
        <w:rPr>
          <w:i/>
          <w:sz w:val="24"/>
          <w:szCs w:val="24"/>
          <w:lang w:val="ro-RO"/>
        </w:rPr>
        <w:t xml:space="preserve">operațională a </w:t>
      </w:r>
      <w:r w:rsidR="00CB1149" w:rsidRPr="00AB6B4D">
        <w:rPr>
          <w:i/>
          <w:sz w:val="24"/>
          <w:szCs w:val="24"/>
          <w:lang w:val="ro-RO"/>
        </w:rPr>
        <w:t>băncii centrale</w:t>
      </w:r>
    </w:p>
    <w:p w:rsidR="00BF614F" w:rsidRPr="00AB6B4D" w:rsidRDefault="00007D5B" w:rsidP="006E1599">
      <w:pPr>
        <w:spacing w:line="360" w:lineRule="auto"/>
      </w:pPr>
      <w:r w:rsidRPr="00AB6B4D">
        <w:t xml:space="preserve">Pe ruta politică însă, operațiile cvasifiscale au un potențial mare de a duce la </w:t>
      </w:r>
      <w:r w:rsidR="00B027C7" w:rsidRPr="00AB6B4D">
        <w:t>constrângerea</w:t>
      </w:r>
      <w:r w:rsidRPr="00AB6B4D">
        <w:t xml:space="preserve"> independenței operaționale a băncii centrale.</w:t>
      </w:r>
      <w:r w:rsidR="00FE22E7" w:rsidRPr="00AB6B4D">
        <w:t xml:space="preserve">Chiar </w:t>
      </w:r>
      <w:r w:rsidR="00444F86" w:rsidRPr="00AB6B4D">
        <w:t xml:space="preserve">dacă </w:t>
      </w:r>
      <w:r w:rsidR="00FE22E7" w:rsidRPr="00AB6B4D">
        <w:t>o</w:t>
      </w:r>
      <w:r w:rsidR="0009359E" w:rsidRPr="00AB6B4D">
        <w:t xml:space="preserve">perațiile cvasifiscale ale băncii centrale </w:t>
      </w:r>
      <w:r w:rsidR="00FE22E7" w:rsidRPr="00AB6B4D">
        <w:t xml:space="preserve">nu </w:t>
      </w:r>
      <w:r w:rsidR="00444F86" w:rsidRPr="00AB6B4D">
        <w:t xml:space="preserve">ar </w:t>
      </w:r>
      <w:r w:rsidR="00FE22E7" w:rsidRPr="00AB6B4D">
        <w:t>produc</w:t>
      </w:r>
      <w:r w:rsidR="00444F86" w:rsidRPr="00AB6B4D">
        <w:t>e</w:t>
      </w:r>
      <w:r w:rsidR="00FE22E7" w:rsidRPr="00AB6B4D">
        <w:t xml:space="preserve"> pierderi, ele </w:t>
      </w:r>
      <w:r w:rsidR="0009359E" w:rsidRPr="00AB6B4D">
        <w:t xml:space="preserve">ridică </w:t>
      </w:r>
      <w:r w:rsidR="00FE22E7" w:rsidRPr="00AB6B4D">
        <w:t xml:space="preserve">alte </w:t>
      </w:r>
      <w:r w:rsidR="0009359E" w:rsidRPr="00AB6B4D">
        <w:t>două probleme. Prima, pe care doar o</w:t>
      </w:r>
      <w:r w:rsidR="00CB1149" w:rsidRPr="00AB6B4D">
        <w:t xml:space="preserve"> menționez, este </w:t>
      </w:r>
      <w:r w:rsidR="002C6157" w:rsidRPr="00AB6B4D">
        <w:t xml:space="preserve">aceea </w:t>
      </w:r>
      <w:r w:rsidR="00CB1149" w:rsidRPr="00AB6B4D">
        <w:t>că banca centrală, ca și guvernul (parlamentul), nu este în poziția de a se substitui pieței în alegerea câ</w:t>
      </w:r>
      <w:r w:rsidR="00516CD9" w:rsidRPr="00AB6B4D">
        <w:t>șt</w:t>
      </w:r>
      <w:r w:rsidR="00CB1149" w:rsidRPr="00AB6B4D">
        <w:t>igătorilor</w:t>
      </w:r>
      <w:r w:rsidR="0009359E" w:rsidRPr="00AB6B4D">
        <w:t xml:space="preserve">. </w:t>
      </w:r>
      <w:r w:rsidR="00481373">
        <w:t>Sau, cum a spus foarte clar Cecchetti (2012</w:t>
      </w:r>
      <w:r w:rsidR="002F4834">
        <w:t>a</w:t>
      </w:r>
      <w:r w:rsidR="00481373">
        <w:t xml:space="preserve">), „Băncile centrale nu pot rezolva probleme structurale în economie.” </w:t>
      </w:r>
      <w:r w:rsidR="00CE1DE5" w:rsidRPr="00AB6B4D">
        <w:t>A</w:t>
      </w:r>
      <w:r w:rsidR="00CB1149" w:rsidRPr="00AB6B4D">
        <w:t>tunci când decide să împrumute un anumit sector, și nu un altul, sau să salveze o instituție financiară, și nu o alta</w:t>
      </w:r>
      <w:r w:rsidR="0009359E" w:rsidRPr="00AB6B4D">
        <w:t>, banca centrală se substituie pieței, distorsionând eficiența alocativă</w:t>
      </w:r>
      <w:r w:rsidR="00CB1149" w:rsidRPr="00AB6B4D">
        <w:t xml:space="preserve">. </w:t>
      </w:r>
      <w:r w:rsidR="00DD0271" w:rsidRPr="00AB6B4D">
        <w:t xml:space="preserve">Aceasta din urmă nu este o preocupare directă a politicienilor. </w:t>
      </w:r>
    </w:p>
    <w:p w:rsidR="00CB1149" w:rsidRPr="00AB6B4D" w:rsidRDefault="00CB1149" w:rsidP="006E1599">
      <w:pPr>
        <w:spacing w:line="360" w:lineRule="auto"/>
      </w:pPr>
      <w:r w:rsidRPr="00AB6B4D">
        <w:t>Celălal</w:t>
      </w:r>
      <w:r w:rsidR="0009359E" w:rsidRPr="00AB6B4D">
        <w:t xml:space="preserve">tă problemă </w:t>
      </w:r>
      <w:r w:rsidR="00DD0271" w:rsidRPr="00AB6B4D">
        <w:t xml:space="preserve">însă </w:t>
      </w:r>
      <w:r w:rsidRPr="00AB6B4D">
        <w:t>este legat</w:t>
      </w:r>
      <w:r w:rsidR="0009359E" w:rsidRPr="00AB6B4D">
        <w:t>ă</w:t>
      </w:r>
      <w:r w:rsidRPr="00AB6B4D">
        <w:t xml:space="preserve"> de democrație: spre deosebire de parlament, care are temeiul democratic, chiar dacă nu și economic, de a alege câștigătorii, banca centrală nu-l are. </w:t>
      </w:r>
      <w:r w:rsidR="00E150F7" w:rsidRPr="00AB6B4D">
        <w:t xml:space="preserve">Operațiile fiscale în natură, cum sunt și creditele băncii centrale către diferite sectoare economice, trebuie aprobate pe cale democratică. </w:t>
      </w:r>
      <w:r w:rsidR="00DD0271" w:rsidRPr="00AB6B4D">
        <w:t xml:space="preserve">Aducerea </w:t>
      </w:r>
      <w:r w:rsidR="00E150F7" w:rsidRPr="00AB6B4D">
        <w:t>acestor operații</w:t>
      </w:r>
      <w:r w:rsidR="00D14595" w:rsidRPr="00AB6B4D">
        <w:t xml:space="preserve"> ale băncii centrale sub o structură de guvernanță similară cu cea a operațiilor fiscale </w:t>
      </w:r>
      <w:r w:rsidR="00E150F7" w:rsidRPr="00AB6B4D">
        <w:t>ar fi</w:t>
      </w:r>
      <w:r w:rsidR="00DD0271" w:rsidRPr="00AB6B4D">
        <w:t xml:space="preserve"> o preocupare </w:t>
      </w:r>
      <w:r w:rsidR="00E150F7" w:rsidRPr="00AB6B4D">
        <w:t xml:space="preserve">legitimă </w:t>
      </w:r>
      <w:r w:rsidR="00DD0271" w:rsidRPr="00AB6B4D">
        <w:t xml:space="preserve">atât pentru politicieni cât și pentru </w:t>
      </w:r>
      <w:r w:rsidR="00D14595" w:rsidRPr="00AB6B4D">
        <w:t>societate</w:t>
      </w:r>
      <w:r w:rsidR="00DD0271" w:rsidRPr="00AB6B4D">
        <w:t>.</w:t>
      </w:r>
      <w:r w:rsidR="0076550C" w:rsidRPr="00AB6B4D">
        <w:t>Dar dacă în acest proces, în mod neintenționat</w:t>
      </w:r>
      <w:r w:rsidR="00C72DE0" w:rsidRPr="00AB6B4D">
        <w:t>,</w:t>
      </w:r>
      <w:r w:rsidR="0076550C" w:rsidRPr="00AB6B4D">
        <w:t xml:space="preserve"> s-a</w:t>
      </w:r>
      <w:r w:rsidR="006A77A8" w:rsidRPr="00AB6B4D">
        <w:t>r pierde independența operațion</w:t>
      </w:r>
      <w:r w:rsidR="0076550C" w:rsidRPr="00AB6B4D">
        <w:t>a</w:t>
      </w:r>
      <w:r w:rsidR="006A77A8" w:rsidRPr="00AB6B4D">
        <w:t>l</w:t>
      </w:r>
      <w:r w:rsidR="0076550C" w:rsidRPr="00AB6B4D">
        <w:t>ă a băncii centrale</w:t>
      </w:r>
      <w:r w:rsidR="00C72DE0" w:rsidRPr="00AB6B4D">
        <w:t>, costurile pentru societate ar fi enorme.</w:t>
      </w:r>
    </w:p>
    <w:p w:rsidR="004075D3" w:rsidRPr="00AB6B4D" w:rsidRDefault="0009359E" w:rsidP="006E1599">
      <w:pPr>
        <w:spacing w:line="360" w:lineRule="auto"/>
      </w:pPr>
      <w:r w:rsidRPr="00AB6B4D">
        <w:lastRenderedPageBreak/>
        <w:t>Faptul că banca centrală este o birocrație autonomă, cu un bilanț propriu</w:t>
      </w:r>
      <w:r w:rsidR="00075BE9" w:rsidRPr="00AB6B4D">
        <w:t>,</w:t>
      </w:r>
      <w:r w:rsidRPr="00AB6B4D">
        <w:t xml:space="preserve"> nu este o </w:t>
      </w:r>
      <w:r w:rsidR="008B7075" w:rsidRPr="00AB6B4D">
        <w:t>întâmpl</w:t>
      </w:r>
      <w:r w:rsidR="003B7834" w:rsidRPr="00AB6B4D">
        <w:t>a</w:t>
      </w:r>
      <w:r w:rsidR="008B7075" w:rsidRPr="00AB6B4D">
        <w:t>re</w:t>
      </w:r>
      <w:r w:rsidRPr="00AB6B4D">
        <w:t xml:space="preserve">. </w:t>
      </w:r>
      <w:r w:rsidR="00C72DE0" w:rsidRPr="00AB6B4D">
        <w:t>În general, birocrațiile autonome,nealese</w:t>
      </w:r>
      <w:r w:rsidR="00075BE9" w:rsidRPr="00AB6B4D">
        <w:t xml:space="preserve"> prin vot</w:t>
      </w:r>
      <w:r w:rsidR="00C72DE0" w:rsidRPr="00AB6B4D">
        <w:t>,sunt</w:t>
      </w:r>
      <w:r w:rsidRPr="00AB6B4D">
        <w:t xml:space="preserve"> răspunsul societății la nevoia acută de a izola </w:t>
      </w:r>
      <w:r w:rsidR="00075BE9" w:rsidRPr="00AB6B4D">
        <w:t xml:space="preserve">anumite activități de influența politică. </w:t>
      </w:r>
      <w:r w:rsidR="002D49C0" w:rsidRPr="00AB6B4D">
        <w:t>Autonomia</w:t>
      </w:r>
      <w:r w:rsidR="002970AE">
        <w:t xml:space="preserve"> băncii centrale</w:t>
      </w:r>
      <w:r w:rsidR="00C72DE0" w:rsidRPr="00AB6B4D">
        <w:t xml:space="preserve"> este răspunsul la nevoia de a izola operațiile monetare de influența politicului. </w:t>
      </w:r>
      <w:r w:rsidR="00075BE9" w:rsidRPr="00AB6B4D">
        <w:t>Deși politicienii reprezintă</w:t>
      </w:r>
      <w:r w:rsidRPr="00AB6B4D">
        <w:t>,</w:t>
      </w:r>
      <w:r w:rsidR="00075BE9" w:rsidRPr="00AB6B4D">
        <w:t xml:space="preserve"> în teorie, voința publicului, ei </w:t>
      </w:r>
      <w:r w:rsidR="008B7075" w:rsidRPr="00AB6B4D">
        <w:t>decid</w:t>
      </w:r>
      <w:r w:rsidR="00075BE9" w:rsidRPr="00AB6B4D">
        <w:t xml:space="preserve"> în multe cazuri pe criterii populiste, ceea ce contravine interesului public pe termen lung. </w:t>
      </w:r>
      <w:r w:rsidR="004075D3" w:rsidRPr="00AB6B4D">
        <w:t xml:space="preserve">Se știe că, până să fie acordată autonomie operațională băncii centrale, inflația a fost un fenomen predominant și dureros. </w:t>
      </w:r>
      <w:r w:rsidR="00075BE9" w:rsidRPr="00AB6B4D">
        <w:t>Din această cauză, politica monetară, dar și alte activități</w:t>
      </w:r>
      <w:r w:rsidR="00E150F7" w:rsidRPr="00AB6B4D">
        <w:t xml:space="preserve"> din societate,</w:t>
      </w:r>
      <w:r w:rsidR="00075BE9" w:rsidRPr="00AB6B4D">
        <w:t xml:space="preserve">  sunt lăsate spre conducere birocrațiilor </w:t>
      </w:r>
      <w:r w:rsidR="004075D3" w:rsidRPr="00AB6B4D">
        <w:t xml:space="preserve">autonome, bazate pe expertiză și merit. </w:t>
      </w:r>
    </w:p>
    <w:p w:rsidR="00E150F7" w:rsidRPr="00AB6B4D" w:rsidRDefault="00D8524C" w:rsidP="006E1599">
      <w:pPr>
        <w:spacing w:line="360" w:lineRule="auto"/>
      </w:pPr>
      <w:r w:rsidRPr="00AB6B4D">
        <w:t xml:space="preserve">Autonomia i-a fost acordată </w:t>
      </w:r>
      <w:r w:rsidR="00F472C3" w:rsidRPr="00AB6B4D">
        <w:t xml:space="preserve">băncii centrale </w:t>
      </w:r>
      <w:r w:rsidR="005212AD" w:rsidRPr="00AB6B4D">
        <w:t>asupra unui</w:t>
      </w:r>
      <w:r w:rsidRPr="00AB6B4D">
        <w:t xml:space="preserve"> bilanț pe care </w:t>
      </w:r>
      <w:r w:rsidR="008E1836" w:rsidRPr="00AB6B4D">
        <w:t>să îl controleze</w:t>
      </w:r>
      <w:r w:rsidR="005212AD" w:rsidRPr="00AB6B4D">
        <w:t xml:space="preserve"> utilizând instrumente indirecte </w:t>
      </w:r>
      <w:r w:rsidR="00C72DE0" w:rsidRPr="00AB6B4D">
        <w:t xml:space="preserve">(adică </w:t>
      </w:r>
      <w:r w:rsidR="002D49C0" w:rsidRPr="00AB6B4D">
        <w:t>operații</w:t>
      </w:r>
      <w:r w:rsidR="00C72DE0" w:rsidRPr="00AB6B4D">
        <w:t xml:space="preserve"> monetare) </w:t>
      </w:r>
      <w:r w:rsidR="005212AD" w:rsidRPr="00AB6B4D">
        <w:t>la prețul pieț</w:t>
      </w:r>
      <w:r w:rsidR="00F472C3" w:rsidRPr="00AB6B4D">
        <w:t>ei pentru a atingeținte implicite sau explicite ale inflației.</w:t>
      </w:r>
      <w:r w:rsidR="00E150F7" w:rsidRPr="00AB6B4D">
        <w:t xml:space="preserve"> Suportul teoretic pentru independența operațională a venit de la contribuțiile </w:t>
      </w:r>
      <w:r w:rsidR="000A5CF0" w:rsidRPr="00AB6B4D">
        <w:t xml:space="preserve">unor economiști celebri. </w:t>
      </w:r>
      <w:r w:rsidR="00E150F7" w:rsidRPr="00AB6B4D">
        <w:t xml:space="preserve">Ei au dovedit că pentru a menține stabilitatea prețurilor, politica monetară are nevoie </w:t>
      </w:r>
      <w:r w:rsidR="006A77A8" w:rsidRPr="00AB6B4D">
        <w:t xml:space="preserve">(i) de </w:t>
      </w:r>
      <w:r w:rsidR="00BA16D9" w:rsidRPr="00AB6B4D">
        <w:t>o structură de guvernanță care să nu aibă nicio altă funcție</w:t>
      </w:r>
      <w:r w:rsidR="003E11DE">
        <w:rPr>
          <w:rStyle w:val="FootnoteReference"/>
        </w:rPr>
        <w:footnoteReference w:id="11"/>
      </w:r>
      <w:r w:rsidR="00BA16D9" w:rsidRPr="00AB6B4D">
        <w:t xml:space="preserve"> (Lucas</w:t>
      </w:r>
      <w:r w:rsidR="000A5CF0" w:rsidRPr="00AB6B4D">
        <w:t>, 1972</w:t>
      </w:r>
      <w:r w:rsidR="006A77A8" w:rsidRPr="00AB6B4D">
        <w:t xml:space="preserve">), (ii)de </w:t>
      </w:r>
      <w:r w:rsidR="00BA16D9" w:rsidRPr="00AB6B4D">
        <w:t>reguli (Kidland și Prescott</w:t>
      </w:r>
      <w:r w:rsidR="000A5CF0" w:rsidRPr="00AB6B4D">
        <w:t>, 1977</w:t>
      </w:r>
      <w:r w:rsidR="00BA16D9" w:rsidRPr="00AB6B4D">
        <w:t xml:space="preserve">) și </w:t>
      </w:r>
      <w:r w:rsidR="006A77A8" w:rsidRPr="00AB6B4D">
        <w:t xml:space="preserve">(iii) </w:t>
      </w:r>
      <w:r w:rsidR="00BA16D9" w:rsidRPr="00AB6B4D">
        <w:t xml:space="preserve">de </w:t>
      </w:r>
      <w:r w:rsidR="00E150F7" w:rsidRPr="00AB6B4D">
        <w:t>independență instrumentului</w:t>
      </w:r>
      <w:r w:rsidR="00BA16D9" w:rsidRPr="00AB6B4D">
        <w:t xml:space="preserve"> (Rogoff</w:t>
      </w:r>
      <w:r w:rsidR="000A5CF0" w:rsidRPr="00AB6B4D">
        <w:t>, 1985</w:t>
      </w:r>
      <w:r w:rsidR="00BA16D9" w:rsidRPr="00AB6B4D">
        <w:t xml:space="preserve"> și Walsh</w:t>
      </w:r>
      <w:r w:rsidR="000A5CF0" w:rsidRPr="00AB6B4D">
        <w:t>, 1995</w:t>
      </w:r>
      <w:r w:rsidR="00BA16D9" w:rsidRPr="00AB6B4D">
        <w:t>)</w:t>
      </w:r>
      <w:r w:rsidR="00E150F7" w:rsidRPr="00AB6B4D">
        <w:t xml:space="preserve">. </w:t>
      </w:r>
    </w:p>
    <w:p w:rsidR="00E150F7" w:rsidRPr="00AB6B4D" w:rsidRDefault="00E150F7" w:rsidP="006E1599">
      <w:pPr>
        <w:spacing w:line="360" w:lineRule="auto"/>
      </w:pPr>
      <w:r w:rsidRPr="00AB6B4D">
        <w:t>Dar, așa cum subliniază în mod corect Stella</w:t>
      </w:r>
      <w:r w:rsidR="002D05E7" w:rsidRPr="00AB6B4D">
        <w:t xml:space="preserve"> (2010), ba</w:t>
      </w:r>
      <w:r w:rsidRPr="00AB6B4D">
        <w:t xml:space="preserve">nca centrală a fost identificată cu agentul care exercită autoritatea monetară, ceea ce a dus la identitatea dintre banca centrală și politica monetară. Astfel, </w:t>
      </w:r>
      <w:r w:rsidR="0022614D" w:rsidRPr="00AB6B4D">
        <w:t>cele mai multe bănci centrale ale lumii au</w:t>
      </w:r>
      <w:r w:rsidR="000A5CF0" w:rsidRPr="00AB6B4D">
        <w:t xml:space="preserve"> căp</w:t>
      </w:r>
      <w:r w:rsidR="0022614D" w:rsidRPr="00AB6B4D">
        <w:t>ătat independenț</w:t>
      </w:r>
      <w:r w:rsidR="003E5FD1" w:rsidRPr="00AB6B4D">
        <w:t xml:space="preserve">a de a-și utiliza bilanțulatât pentru </w:t>
      </w:r>
      <w:r w:rsidR="0022614D" w:rsidRPr="00AB6B4D">
        <w:t xml:space="preserve">politica monetară </w:t>
      </w:r>
      <w:r w:rsidR="003E5FD1" w:rsidRPr="00AB6B4D">
        <w:t xml:space="preserve">cât și pentru alte </w:t>
      </w:r>
      <w:r w:rsidRPr="00AB6B4D">
        <w:t xml:space="preserve">funcții ale sale, inclusiv pentru stabilitatea financiară. </w:t>
      </w:r>
    </w:p>
    <w:p w:rsidR="00CB1149" w:rsidRPr="00AB6B4D" w:rsidRDefault="00F472C3" w:rsidP="006E1599">
      <w:pPr>
        <w:spacing w:line="360" w:lineRule="auto"/>
      </w:pPr>
      <w:r w:rsidRPr="00AB6B4D">
        <w:t>Când</w:t>
      </w:r>
      <w:r w:rsidR="001803DB" w:rsidRPr="00AB6B4D">
        <w:t xml:space="preserve">,însă, </w:t>
      </w:r>
      <w:r w:rsidRPr="00AB6B4D">
        <w:t>face operații cvasifiscale</w:t>
      </w:r>
      <w:r w:rsidR="001803DB" w:rsidRPr="00AB6B4D">
        <w:t xml:space="preserve"> pentru asigurarea stabilității finnaciare</w:t>
      </w:r>
      <w:r w:rsidRPr="00AB6B4D">
        <w:t>, banca centrală iese din logica și din aria pentru care i-a fo</w:t>
      </w:r>
      <w:r w:rsidR="002D05E7" w:rsidRPr="00AB6B4D">
        <w:t>st acordată autonomia. Prin ace</w:t>
      </w:r>
      <w:r w:rsidRPr="00AB6B4D">
        <w:t>ste operațiuni</w:t>
      </w:r>
      <w:r w:rsidR="00226AAE" w:rsidRPr="00AB6B4D">
        <w:t>, banca centrală</w:t>
      </w:r>
      <w:r w:rsidRPr="00AB6B4D">
        <w:t xml:space="preserve"> intră într-o arie</w:t>
      </w:r>
      <w:r w:rsidR="003E5FD1" w:rsidRPr="00AB6B4D">
        <w:t xml:space="preserve"> - cea</w:t>
      </w:r>
      <w:r w:rsidR="000A7971" w:rsidRPr="00AB6B4D">
        <w:t xml:space="preserve"> fiscală - </w:t>
      </w:r>
      <w:r w:rsidRPr="00AB6B4D">
        <w:t>pentru care democrația nu permite control</w:t>
      </w:r>
      <w:r w:rsidR="00226AAE" w:rsidRPr="00AB6B4D">
        <w:t>ul</w:t>
      </w:r>
      <w:r w:rsidRPr="00AB6B4D">
        <w:t xml:space="preserve"> independent al bilanțului. </w:t>
      </w:r>
      <w:r w:rsidR="00226AAE" w:rsidRPr="00AB6B4D">
        <w:t>În democrație, bugetele guvernelor sunt controlate de parlamente</w:t>
      </w:r>
      <w:r w:rsidR="0093633E" w:rsidRPr="00AB6B4D">
        <w:t xml:space="preserve">.Guvernul poate da cu împrumut numai cu aprobare explicită a parlamentului. </w:t>
      </w:r>
      <w:r w:rsidR="00226AAE" w:rsidRPr="00AB6B4D">
        <w:t xml:space="preserve">Dacă și banca centrală face operații de natură fiscală, </w:t>
      </w:r>
      <w:r w:rsidR="0093633E" w:rsidRPr="00AB6B4D">
        <w:t>atunci apare întrebarea</w:t>
      </w:r>
      <w:r w:rsidR="002D05E7" w:rsidRPr="00AB6B4D">
        <w:t>:</w:t>
      </w:r>
      <w:r w:rsidR="0093633E" w:rsidRPr="00AB6B4D">
        <w:t xml:space="preserve"> d</w:t>
      </w:r>
      <w:r w:rsidR="00CB1149" w:rsidRPr="00AB6B4D">
        <w:t xml:space="preserve">e ce ar fi operații de aceeași natură guvernate de două structuri de guvernanță diferite? </w:t>
      </w:r>
    </w:p>
    <w:p w:rsidR="00D64580" w:rsidRDefault="00CB1149" w:rsidP="006E1599">
      <w:pPr>
        <w:spacing w:line="360" w:lineRule="auto"/>
      </w:pPr>
      <w:r w:rsidRPr="00AB6B4D">
        <w:lastRenderedPageBreak/>
        <w:t>Pentru că nu se poate răspunde convingător la această întrebare, puterea legislativă va tindesă aducă operațiile băncii centrale sub controlul parlamentului, din moment ce acesta guvernează politica fiscală. Așa cum spune Stella</w:t>
      </w:r>
      <w:r w:rsidR="002D05E7" w:rsidRPr="00AB6B4D">
        <w:t xml:space="preserve"> (2010)</w:t>
      </w:r>
      <w:r w:rsidRPr="00AB6B4D">
        <w:t>, acest lucru poate duce la constrângerea neintenționată și nedorită a independenței</w:t>
      </w:r>
      <w:r w:rsidR="0030702A" w:rsidRPr="00AB6B4D">
        <w:t xml:space="preserve"> operaționale a băncii centrale</w:t>
      </w:r>
      <w:r w:rsidRPr="00AB6B4D">
        <w:t>.</w:t>
      </w:r>
      <w:r w:rsidR="00F43664" w:rsidRPr="00AB6B4D">
        <w:t>Este adevărat că în cercurile informate din țările dezvoltate nu se vorbește de limitarea independenței operaționale, ci doar de reforma structurii de guvernanță a băncii centrale. Dar nu sunt puține cazurile în care rațiunea a fost învinsă de populism</w:t>
      </w:r>
      <w:r w:rsidR="00D64580">
        <w:t>.</w:t>
      </w:r>
    </w:p>
    <w:p w:rsidR="00354221" w:rsidRPr="00AB6B4D" w:rsidRDefault="00D64580" w:rsidP="006E1599">
      <w:pPr>
        <w:spacing w:line="360" w:lineRule="auto"/>
        <w:rPr>
          <w:szCs w:val="24"/>
        </w:rPr>
      </w:pPr>
      <w:r>
        <w:t xml:space="preserve">Mai mult, operațiile cvasifiscale au loc într-o perioadă în care </w:t>
      </w:r>
      <w:r w:rsidR="00D80317">
        <w:t>presiunea asupra băncilor centrale crește. Cererea pentru o mai mare supraveghere politică și noi standarde de transparență și responsabilitate  a crescut în intensitate, tensiunile fiind notabile nu numai pentru Fed, Banca Japoniei, Banca Central Europeană și Banca Angliei, dar și pentru alte bănci centrale din țările dezvoltate și din țările în curs de dezvoltare (EYGM Limited și OMFIF Limited, 2012, p. 12)</w:t>
      </w:r>
      <w:r w:rsidR="00F43664" w:rsidRPr="00AB6B4D">
        <w:t xml:space="preserve">.  </w:t>
      </w:r>
    </w:p>
    <w:p w:rsidR="003B7BD8" w:rsidRPr="00AB6B4D" w:rsidRDefault="0056677D" w:rsidP="00392D80">
      <w:pPr>
        <w:pStyle w:val="ListParagraph"/>
        <w:numPr>
          <w:ilvl w:val="0"/>
          <w:numId w:val="3"/>
        </w:numPr>
        <w:spacing w:line="360" w:lineRule="auto"/>
        <w:rPr>
          <w:i/>
          <w:sz w:val="24"/>
          <w:szCs w:val="24"/>
          <w:lang w:val="ro-RO"/>
        </w:rPr>
      </w:pPr>
      <w:r w:rsidRPr="00AB6B4D">
        <w:rPr>
          <w:i/>
          <w:sz w:val="24"/>
          <w:szCs w:val="24"/>
          <w:lang w:val="ro-RO"/>
        </w:rPr>
        <w:t>Dezbaterea privind stuctura de guvernanță a băncii centrale</w:t>
      </w:r>
    </w:p>
    <w:p w:rsidR="0084027B" w:rsidRPr="00AB6B4D" w:rsidRDefault="00354221" w:rsidP="006E1599">
      <w:pPr>
        <w:spacing w:line="360" w:lineRule="auto"/>
      </w:pPr>
      <w:r w:rsidRPr="00AB6B4D">
        <w:t>Posibil</w:t>
      </w:r>
      <w:r w:rsidR="006F512C" w:rsidRPr="00AB6B4D">
        <w:t>i</w:t>
      </w:r>
      <w:r w:rsidRPr="00AB6B4D">
        <w:t xml:space="preserve">tatea pierderii independenței operaționale a băncii centrale </w:t>
      </w:r>
      <w:r w:rsidR="006F512C" w:rsidRPr="00AB6B4D">
        <w:t xml:space="preserve">datorită operațiilor sale  cvasifiscale (intervenții financiare) </w:t>
      </w:r>
      <w:r w:rsidR="0084027B" w:rsidRPr="00AB6B4D">
        <w:t xml:space="preserve">este </w:t>
      </w:r>
      <w:r w:rsidR="006F512C" w:rsidRPr="00AB6B4D">
        <w:t xml:space="preserve">doar o fațetă a unei probleme mai complexe: </w:t>
      </w:r>
      <w:r w:rsidR="001B2F10" w:rsidRPr="00AB6B4D">
        <w:t xml:space="preserve">(i) </w:t>
      </w:r>
      <w:r w:rsidR="0084027B" w:rsidRPr="00AB6B4D">
        <w:t xml:space="preserve">pe de o parte, așa cum a arătat criza actuală, </w:t>
      </w:r>
      <w:r w:rsidRPr="00AB6B4D">
        <w:t xml:space="preserve">asigurarea stabilității prețurilor la niveluri joase și stabile </w:t>
      </w:r>
      <w:r w:rsidR="0084027B" w:rsidRPr="00AB6B4D">
        <w:t xml:space="preserve">nu </w:t>
      </w:r>
      <w:r w:rsidRPr="00AB6B4D">
        <w:t>asi</w:t>
      </w:r>
      <w:r w:rsidR="0084027B" w:rsidRPr="00AB6B4D">
        <w:t xml:space="preserve">gură și stabilitatea financiară; </w:t>
      </w:r>
      <w:r w:rsidR="001B2F10" w:rsidRPr="00AB6B4D">
        <w:t xml:space="preserve">(ii) </w:t>
      </w:r>
      <w:r w:rsidR="0084027B" w:rsidRPr="00AB6B4D">
        <w:t xml:space="preserve">pe de altă parte, intevențiile băncii centrale </w:t>
      </w:r>
      <w:r w:rsidR="006F512C" w:rsidRPr="00AB6B4D">
        <w:t xml:space="preserve">pentru asigurarea stabilității financiare </w:t>
      </w:r>
      <w:r w:rsidR="0084027B" w:rsidRPr="00AB6B4D">
        <w:t xml:space="preserve">pot duce la </w:t>
      </w:r>
      <w:r w:rsidR="0056677D" w:rsidRPr="00AB6B4D">
        <w:t>constrângereaindependenței operaționale, limitând astfel capacitatea</w:t>
      </w:r>
      <w:r w:rsidR="0084027B" w:rsidRPr="00AB6B4D">
        <w:t xml:space="preserve"> de a </w:t>
      </w:r>
      <w:r w:rsidR="006F512C" w:rsidRPr="00AB6B4D">
        <w:t>asigura stabilitatea prețurilor</w:t>
      </w:r>
      <w:r w:rsidR="0084027B" w:rsidRPr="00AB6B4D">
        <w:t xml:space="preserve">. </w:t>
      </w:r>
    </w:p>
    <w:p w:rsidR="003A5844" w:rsidRPr="00AB6B4D" w:rsidRDefault="00CD19B4" w:rsidP="006E1599">
      <w:pPr>
        <w:spacing w:line="360" w:lineRule="auto"/>
      </w:pPr>
      <w:r w:rsidRPr="00AB6B4D">
        <w:t>Pentru a rezolva prima parte a problemei, u</w:t>
      </w:r>
      <w:r w:rsidR="00C160D8" w:rsidRPr="00AB6B4D">
        <w:t>nii economiști propun</w:t>
      </w:r>
      <w:r w:rsidR="0047424F" w:rsidRPr="00AB6B4D">
        <w:t xml:space="preserve"> ca stabilitatea financiară să fie </w:t>
      </w:r>
      <w:r w:rsidR="000C3BF4" w:rsidRPr="00AB6B4D">
        <w:t>d</w:t>
      </w:r>
      <w:r w:rsidR="0047424F" w:rsidRPr="00AB6B4D">
        <w:t>in nou un obiectiv proeminent al b</w:t>
      </w:r>
      <w:r w:rsidR="003E5FD1" w:rsidRPr="00AB6B4D">
        <w:t>ăncii centrale, așa cum a fost i</w:t>
      </w:r>
      <w:r w:rsidR="0047424F" w:rsidRPr="00AB6B4D">
        <w:t xml:space="preserve">nițial, atunci când s-a înființat majoritatea băncilor centrale. </w:t>
      </w:r>
      <w:r w:rsidR="003A5844" w:rsidRPr="00AB6B4D">
        <w:t xml:space="preserve">Această soluție are </w:t>
      </w:r>
      <w:r w:rsidR="00C160D8" w:rsidRPr="00AB6B4D">
        <w:t>însă o slăbiciune majoră:</w:t>
      </w:r>
      <w:r w:rsidR="003A5844" w:rsidRPr="00AB6B4D">
        <w:t xml:space="preserve"> există două obiective </w:t>
      </w:r>
      <w:r w:rsidR="00C160D8" w:rsidRPr="00AB6B4D">
        <w:t xml:space="preserve">(stabilitatea prețurilor și stabilitatea financiară) </w:t>
      </w:r>
      <w:r w:rsidR="003A5844" w:rsidRPr="00AB6B4D">
        <w:t>și doar un singur instrument</w:t>
      </w:r>
      <w:r w:rsidR="00C160D8" w:rsidRPr="00AB6B4D">
        <w:t xml:space="preserve"> (rata dobânzii)</w:t>
      </w:r>
      <w:r w:rsidR="003A5844" w:rsidRPr="00AB6B4D">
        <w:t>. Din acest motiv, cele două obiective pot ajunge</w:t>
      </w:r>
      <w:r w:rsidR="00740741" w:rsidRPr="00AB6B4D">
        <w:t xml:space="preserve"> în conflict: o creștere a ratei dobânzii necesară pentru a menține inflația în limitele dorite ar putea </w:t>
      </w:r>
      <w:r w:rsidR="001B2F10" w:rsidRPr="00AB6B4D">
        <w:t>tensiona bilanțurile private, destabilizând</w:t>
      </w:r>
      <w:r w:rsidR="00740741" w:rsidRPr="00AB6B4D">
        <w:t xml:space="preserve"> financiar economia. </w:t>
      </w:r>
      <w:r w:rsidR="001803DB" w:rsidRPr="00AB6B4D">
        <w:t>De aceea, unii economiști au sugerat ca rata dobânzii de politică monetară să fie stabilită de guvern (Goodhard, 2010).</w:t>
      </w:r>
    </w:p>
    <w:p w:rsidR="00C160D8" w:rsidRPr="00AB6B4D" w:rsidRDefault="0047424F" w:rsidP="006E1599">
      <w:pPr>
        <w:spacing w:line="360" w:lineRule="auto"/>
      </w:pPr>
      <w:r w:rsidRPr="00AB6B4D">
        <w:t xml:space="preserve">Alți economiști </w:t>
      </w:r>
      <w:r w:rsidR="00C160D8" w:rsidRPr="00AB6B4D">
        <w:t xml:space="preserve">(Stella, 2010, Goodhart, 2010) </w:t>
      </w:r>
      <w:r w:rsidRPr="00AB6B4D">
        <w:t xml:space="preserve">au propus alocarea </w:t>
      </w:r>
      <w:r w:rsidR="000C3BF4" w:rsidRPr="00AB6B4D">
        <w:t>stabilității financiare unei structuri de guverna</w:t>
      </w:r>
      <w:r w:rsidR="00FD7771" w:rsidRPr="00AB6B4D">
        <w:t>n</w:t>
      </w:r>
      <w:r w:rsidR="000C3BF4" w:rsidRPr="00AB6B4D">
        <w:t xml:space="preserve">ță noi, separată de structura de guvernanță asociată politicii monetare. </w:t>
      </w:r>
      <w:r w:rsidR="00C160D8" w:rsidRPr="00AB6B4D">
        <w:t>Ar rezulta, astfel, două structuri noi: o autoritate monetară</w:t>
      </w:r>
      <w:r w:rsidR="00A64014" w:rsidRPr="00AB6B4D">
        <w:t xml:space="preserve">, cu un bilanț relativ </w:t>
      </w:r>
      <w:r w:rsidR="00A64014" w:rsidRPr="00AB6B4D">
        <w:lastRenderedPageBreak/>
        <w:t>mic,</w:t>
      </w:r>
      <w:r w:rsidR="00C160D8" w:rsidRPr="00AB6B4D">
        <w:t xml:space="preserve"> și o autoritate de intervenție</w:t>
      </w:r>
      <w:r w:rsidR="00A64014" w:rsidRPr="00AB6B4D">
        <w:t>, cu un bilanț relativ mare.</w:t>
      </w:r>
      <w:r w:rsidR="007376B8" w:rsidRPr="00AB6B4D">
        <w:t>Conform lui Stella</w:t>
      </w:r>
      <w:r w:rsidR="002D05E7" w:rsidRPr="00AB6B4D">
        <w:t xml:space="preserve"> (2010)</w:t>
      </w:r>
      <w:r w:rsidR="007376B8" w:rsidRPr="00AB6B4D">
        <w:t>, a</w:t>
      </w:r>
      <w:r w:rsidR="00F61E40" w:rsidRPr="00AB6B4D">
        <w:t>ceastă din urmă soluție ar permite o distincție clară între politica monetară, politica fiscală și politica de intervenții pe p</w:t>
      </w:r>
      <w:r w:rsidR="007376B8" w:rsidRPr="00AB6B4D">
        <w:t>iața financiară.</w:t>
      </w:r>
    </w:p>
    <w:p w:rsidR="00A64014" w:rsidRPr="00AB6B4D" w:rsidRDefault="00C160D8" w:rsidP="006E1599">
      <w:pPr>
        <w:spacing w:line="360" w:lineRule="auto"/>
      </w:pPr>
      <w:r w:rsidRPr="00AB6B4D">
        <w:t>Autoritatea monetară ar conduce politica monetară. La Stella</w:t>
      </w:r>
      <w:r w:rsidR="002D05E7" w:rsidRPr="00AB6B4D">
        <w:t xml:space="preserve"> (2010)</w:t>
      </w:r>
      <w:r w:rsidRPr="00AB6B4D">
        <w:t xml:space="preserve">, aceasta înseamnă conducerea procesului prin care se stabilește o țintă privind rata operațională a dobânzii și se administrează lichiditatea pentru a realiza o corespondență între rata de piață și cea țintă, astfel încât să se atingă obiectivul de inflație. </w:t>
      </w:r>
    </w:p>
    <w:p w:rsidR="00D65111" w:rsidRPr="00AB6B4D" w:rsidRDefault="00C160D8" w:rsidP="006E1599">
      <w:pPr>
        <w:spacing w:line="360" w:lineRule="auto"/>
        <w:rPr>
          <w:szCs w:val="24"/>
        </w:rPr>
      </w:pPr>
      <w:r w:rsidRPr="00AB6B4D">
        <w:t>Autoritatea de intervenție pe piața financiară ar implementa politica de intervenție pe piețe sau în instituții în distres pentru a modifica prețurile relative sau pentru a furniza lichiditate. Cu alte cuvinte, această autoritate ar emite datorie garantată de guvern și ar îndeplini funcția de creditor de ultimă instanță în limite consistente cu bugetul guvernamental. La Goodhart</w:t>
      </w:r>
      <w:r w:rsidR="002D05E7" w:rsidRPr="00AB6B4D">
        <w:t xml:space="preserve"> (2010)</w:t>
      </w:r>
      <w:r w:rsidRPr="00AB6B4D">
        <w:t xml:space="preserve"> e mai simplu. El nu exclude ca rata dobânzii să fie stabilită de guvern, celelalte operații rămânând la banca centrală. Aceasta înseamnă că, în fapt, banca centrală este autoritatea de intervenție.</w:t>
      </w:r>
    </w:p>
    <w:p w:rsidR="00A64014" w:rsidRPr="00AB6B4D" w:rsidRDefault="004257D3" w:rsidP="00392D80">
      <w:pPr>
        <w:pStyle w:val="ListParagraph"/>
        <w:numPr>
          <w:ilvl w:val="0"/>
          <w:numId w:val="3"/>
        </w:numPr>
        <w:spacing w:line="360" w:lineRule="auto"/>
        <w:rPr>
          <w:i/>
          <w:sz w:val="24"/>
          <w:szCs w:val="24"/>
          <w:lang w:val="ro-RO"/>
        </w:rPr>
      </w:pPr>
      <w:r w:rsidRPr="00AB6B4D">
        <w:rPr>
          <w:i/>
          <w:sz w:val="24"/>
          <w:szCs w:val="24"/>
          <w:lang w:val="ro-RO"/>
        </w:rPr>
        <w:t>Sunt dezirabile două structuri de guvernanță?</w:t>
      </w:r>
    </w:p>
    <w:p w:rsidR="00D56051" w:rsidRPr="00AB6B4D" w:rsidRDefault="00A64014" w:rsidP="006E1599">
      <w:pPr>
        <w:spacing w:line="360" w:lineRule="auto"/>
      </w:pPr>
      <w:r w:rsidRPr="00AB6B4D">
        <w:t xml:space="preserve">Separarea actualei structuri de guvernanță a băncii centrale în două structuri diferite </w:t>
      </w:r>
      <w:r w:rsidR="00D56051" w:rsidRPr="00AB6B4D">
        <w:t>este criticabilă din mai multe puncte de vedere. În primul rând, legătura dintre rata dobânzii și stabilitatea financiară nu își schimbă natura. Indiferent cine stabilește rata dobânzii, dacă se urmărește reducerea ratei inflației, atunci bilanțurile se pot tensiona de la o creștere mare a retelor dobânzii</w:t>
      </w:r>
      <w:r w:rsidR="004C262E" w:rsidRPr="00AB6B4D">
        <w:t>, ceea ce poate duce la creșterea ratei șomajului</w:t>
      </w:r>
      <w:r w:rsidR="00D56051" w:rsidRPr="00AB6B4D">
        <w:t>. Dacă se presupune că stabilirea de către guvern a ratei dobânzii este o soluție, atunci se presupune de fapt că guvernul va accepta o inflație mai mare</w:t>
      </w:r>
      <w:r w:rsidR="00CE11E6" w:rsidRPr="00AB6B4D">
        <w:t xml:space="preserve"> decât ar accepta banca centrală</w:t>
      </w:r>
      <w:r w:rsidR="00424D12" w:rsidRPr="00AB6B4D">
        <w:t xml:space="preserve">. </w:t>
      </w:r>
      <w:r w:rsidR="004C262E" w:rsidRPr="00AB6B4D">
        <w:t>Guvernele au stimulente mai mari pentru a evita tensionarea</w:t>
      </w:r>
      <w:r w:rsidR="00D56051" w:rsidRPr="00AB6B4D">
        <w:t xml:space="preserve"> bilanțurile</w:t>
      </w:r>
      <w:r w:rsidR="004C262E" w:rsidRPr="00AB6B4D">
        <w:t xml:space="preserve">, și astfel creșterea ratei șomajului,chiar dacă se știe că nu există compromis între inflație și rata șomajului pe termen lung. </w:t>
      </w:r>
    </w:p>
    <w:p w:rsidR="00B85EB5" w:rsidRPr="00AB6B4D" w:rsidRDefault="00D56051" w:rsidP="006E1599">
      <w:pPr>
        <w:spacing w:line="360" w:lineRule="auto"/>
      </w:pPr>
      <w:r w:rsidRPr="00AB6B4D">
        <w:t xml:space="preserve">În al doilea rînd, managementul lichidității ar fi bicefal. În perioadele normale, </w:t>
      </w:r>
      <w:r w:rsidR="004257D3" w:rsidRPr="00AB6B4D">
        <w:t xml:space="preserve">autoritatea monetară ar stabili lichiditatea pentru ca rata dobânzii de politică monetară să atingă nivelurile compatibile cu ținta de inflație. În perioadele de criză, autoritatea de intervenție ar avea un rol mare în stabilirea lichidității. </w:t>
      </w:r>
      <w:r w:rsidR="00CC2DB7" w:rsidRPr="00AB6B4D">
        <w:t>Este</w:t>
      </w:r>
      <w:r w:rsidR="004257D3" w:rsidRPr="00AB6B4D">
        <w:t xml:space="preserve"> vorba de ocazii speciale, relativ rare, în care </w:t>
      </w:r>
      <w:r w:rsidR="00CC2DB7" w:rsidRPr="00AB6B4D">
        <w:t>autoritatea de intervenție ar</w:t>
      </w:r>
      <w:r w:rsidR="00DB6093" w:rsidRPr="00AB6B4D">
        <w:t xml:space="preserve"> opera</w:t>
      </w:r>
      <w:r w:rsidR="004257D3" w:rsidRPr="00AB6B4D">
        <w:t xml:space="preserve"> în capacitatea de creditor de ultimă instanță</w:t>
      </w:r>
      <w:r w:rsidR="00CC2DB7" w:rsidRPr="00AB6B4D">
        <w:t>, și nu banca centrală</w:t>
      </w:r>
      <w:r w:rsidR="004257D3" w:rsidRPr="00AB6B4D">
        <w:t xml:space="preserve">.  </w:t>
      </w:r>
    </w:p>
    <w:p w:rsidR="00971786" w:rsidRPr="00AB6B4D" w:rsidRDefault="004257D3" w:rsidP="006E1599">
      <w:pPr>
        <w:pStyle w:val="CommentText"/>
        <w:spacing w:line="360" w:lineRule="auto"/>
        <w:rPr>
          <w:sz w:val="24"/>
          <w:szCs w:val="24"/>
        </w:rPr>
      </w:pPr>
      <w:r w:rsidRPr="00AB6B4D">
        <w:rPr>
          <w:sz w:val="24"/>
          <w:szCs w:val="24"/>
        </w:rPr>
        <w:lastRenderedPageBreak/>
        <w:t xml:space="preserve">De aici rezultă </w:t>
      </w:r>
      <w:r w:rsidR="00B85EB5" w:rsidRPr="00AB6B4D">
        <w:rPr>
          <w:sz w:val="24"/>
          <w:szCs w:val="24"/>
        </w:rPr>
        <w:t xml:space="preserve">două probleme. Prima, </w:t>
      </w:r>
      <w:r w:rsidRPr="00AB6B4D">
        <w:rPr>
          <w:sz w:val="24"/>
          <w:szCs w:val="24"/>
        </w:rPr>
        <w:t>agenția de intervenție ar avea treabă</w:t>
      </w:r>
      <w:r w:rsidR="00B85EB5" w:rsidRPr="00AB6B4D">
        <w:rPr>
          <w:sz w:val="24"/>
          <w:szCs w:val="24"/>
        </w:rPr>
        <w:t xml:space="preserve"> foarte rar, ceea ce s-ar reflecta în pierderea expertizei în domeniu. Când, după perioada de control al capitalurilor (până în anii 70), au apărut crize bancare în mai multe țări, sarcina tratării acestora a fost delegată spre r</w:t>
      </w:r>
      <w:r w:rsidR="00CC2DB7" w:rsidRPr="00AB6B4D">
        <w:rPr>
          <w:sz w:val="24"/>
          <w:szCs w:val="24"/>
        </w:rPr>
        <w:t>ezolvare câtorva experți. În zilele noastre</w:t>
      </w:r>
      <w:r w:rsidR="00B85EB5" w:rsidRPr="00AB6B4D">
        <w:rPr>
          <w:sz w:val="24"/>
          <w:szCs w:val="24"/>
        </w:rPr>
        <w:t xml:space="preserve"> acest lucru ar fi de neconceput (Goodhart, 2010). Avantajul unei bănci centrale cu structura de guvernanță existentă astăzi în conducerea politicilor neconvenționale este </w:t>
      </w:r>
      <w:r w:rsidR="003C6D4E">
        <w:rPr>
          <w:sz w:val="24"/>
          <w:szCs w:val="24"/>
        </w:rPr>
        <w:t>capacitatea de reacț</w:t>
      </w:r>
      <w:r w:rsidR="00AE4ACD" w:rsidRPr="00AB6B4D">
        <w:rPr>
          <w:sz w:val="24"/>
          <w:szCs w:val="24"/>
        </w:rPr>
        <w:t xml:space="preserve">ie mai rapidă, dată de instrumentele si capacitatea profesionala deja dezvoltate, </w:t>
      </w:r>
      <w:r w:rsidR="00B85EB5" w:rsidRPr="00AB6B4D">
        <w:rPr>
          <w:sz w:val="24"/>
          <w:szCs w:val="24"/>
        </w:rPr>
        <w:t>comparativ cu o agenție guvernamentală.</w:t>
      </w:r>
    </w:p>
    <w:p w:rsidR="00D65111" w:rsidRPr="00AB6B4D" w:rsidRDefault="00B85EB5" w:rsidP="006E1599">
      <w:pPr>
        <w:spacing w:line="360" w:lineRule="auto"/>
      </w:pPr>
      <w:r w:rsidRPr="00AB6B4D">
        <w:t xml:space="preserve">A doua problemă se referă la schimbarea actorilor în timpul jocului, ceea ce </w:t>
      </w:r>
      <w:r w:rsidR="004257D3" w:rsidRPr="00AB6B4D">
        <w:t xml:space="preserve">pentru bănci ar fi o mare problemă. </w:t>
      </w:r>
      <w:r w:rsidR="00CE11E6" w:rsidRPr="00AB6B4D">
        <w:t>Exact în momentele de stres</w:t>
      </w:r>
      <w:r w:rsidR="00971786" w:rsidRPr="00AB6B4D">
        <w:t xml:space="preserve"> maxim, banca centrală ar trebui să cedeze</w:t>
      </w:r>
      <w:r w:rsidR="00CC2DB7" w:rsidRPr="00AB6B4D">
        <w:t>, temporar,</w:t>
      </w:r>
      <w:r w:rsidR="00971786" w:rsidRPr="00AB6B4D">
        <w:t xml:space="preserve"> locul central în sistem</w:t>
      </w:r>
      <w:r w:rsidR="00C45561" w:rsidRPr="00AB6B4D">
        <w:t>ul bancar</w:t>
      </w:r>
      <w:r w:rsidR="00971786" w:rsidRPr="00AB6B4D">
        <w:t xml:space="preserve"> unei autorități guvernamentale. </w:t>
      </w:r>
      <w:r w:rsidRPr="00AB6B4D">
        <w:t xml:space="preserve">În acest caz, </w:t>
      </w:r>
      <w:r w:rsidR="00DB6093" w:rsidRPr="00AB6B4D">
        <w:t xml:space="preserve">nu este clar cum ar trebui definite </w:t>
      </w:r>
      <w:r w:rsidRPr="00AB6B4D">
        <w:t>c</w:t>
      </w:r>
      <w:r w:rsidR="004257D3" w:rsidRPr="00AB6B4D">
        <w:t>alitatea și volumul activelor lichide</w:t>
      </w:r>
      <w:r w:rsidR="00DB6093" w:rsidRPr="00AB6B4D">
        <w:t>. În mod normal, sub structura curentă a băncii centrale, definiția lichidității ar trebui</w:t>
      </w:r>
      <w:r w:rsidR="004257D3" w:rsidRPr="00AB6B4D">
        <w:t xml:space="preserve"> să asigure atât obiectivul politicii financiare (acceptarea lor în momente de criză) cât și pe cel al politicii monetare (</w:t>
      </w:r>
      <w:r w:rsidRPr="00AB6B4D">
        <w:t>acceptarea lor pentru operații indirecte</w:t>
      </w:r>
      <w:r w:rsidR="004257D3" w:rsidRPr="00AB6B4D">
        <w:t>)</w:t>
      </w:r>
      <w:r w:rsidR="006D3B51" w:rsidRPr="00AB6B4D">
        <w:t xml:space="preserve"> (Flandreau, 2010)</w:t>
      </w:r>
      <w:r w:rsidR="004257D3" w:rsidRPr="00AB6B4D">
        <w:t>.</w:t>
      </w:r>
      <w:r w:rsidR="00DB6093" w:rsidRPr="00AB6B4D">
        <w:t xml:space="preserve"> Dar cu o structură bicefală a lichidității, îndeplinirea acestei cerințe s-ar putea dovedi dificilă.</w:t>
      </w:r>
    </w:p>
    <w:p w:rsidR="005E7204" w:rsidRPr="00AB6B4D" w:rsidRDefault="0087251F" w:rsidP="006E1599">
      <w:pPr>
        <w:spacing w:line="360" w:lineRule="auto"/>
      </w:pPr>
      <w:r w:rsidRPr="00AB6B4D">
        <w:t xml:space="preserve">Al treilea </w:t>
      </w:r>
      <w:r w:rsidR="00D65111" w:rsidRPr="00AB6B4D">
        <w:t xml:space="preserve"> motiv pentru care actuala structură de guvernață este mai bună se referă la rata de schimb</w:t>
      </w:r>
      <w:r w:rsidR="00323F25" w:rsidRPr="00AB6B4D">
        <w:t xml:space="preserve"> (Gregorio, 2010)</w:t>
      </w:r>
      <w:r w:rsidR="00D65111" w:rsidRPr="00AB6B4D">
        <w:t xml:space="preserve">. </w:t>
      </w:r>
      <w:r w:rsidR="00C45561" w:rsidRPr="00AB6B4D">
        <w:t xml:space="preserve">Aceasta influențează economia prin </w:t>
      </w:r>
      <w:r w:rsidR="00911F77" w:rsidRPr="00AB6B4D">
        <w:t xml:space="preserve">efectele asupra inflației și asupra stabilității financiare. </w:t>
      </w:r>
      <w:r w:rsidR="00DB6093" w:rsidRPr="00AB6B4D">
        <w:t>Atunci când capitalurile sunt mobile, p</w:t>
      </w:r>
      <w:r w:rsidR="005E7204" w:rsidRPr="00AB6B4D">
        <w:t xml:space="preserve">entru ca stabilirea ratei dobânzii să ducă la atingerea țintei de inflație, rata de schimb trebuie să fie flexibilă. Totuși, în </w:t>
      </w:r>
      <w:r w:rsidR="00B739C1" w:rsidRPr="00AB6B4D">
        <w:t>perioade de boom</w:t>
      </w:r>
      <w:r w:rsidR="00CE11E6" w:rsidRPr="00AB6B4D">
        <w:t xml:space="preserve"> sau de criză, </w:t>
      </w:r>
      <w:r w:rsidR="005E7204" w:rsidRPr="00AB6B4D">
        <w:t xml:space="preserve">rata de schimb se poate îndepărta </w:t>
      </w:r>
      <w:r w:rsidR="00CE11E6" w:rsidRPr="00AB6B4D">
        <w:t xml:space="preserve">mult </w:t>
      </w:r>
      <w:r w:rsidR="005E7204" w:rsidRPr="00AB6B4D">
        <w:t xml:space="preserve">de </w:t>
      </w:r>
      <w:r w:rsidR="00CE11E6" w:rsidRPr="00AB6B4D">
        <w:t xml:space="preserve">la </w:t>
      </w:r>
      <w:r w:rsidR="005E7204" w:rsidRPr="00AB6B4D">
        <w:t>echilibru</w:t>
      </w:r>
      <w:r w:rsidR="00CE11E6" w:rsidRPr="00AB6B4D">
        <w:t xml:space="preserve"> (reflectând, de exemplu, mișcări de capitaluri)</w:t>
      </w:r>
      <w:r w:rsidR="005E7204" w:rsidRPr="00AB6B4D">
        <w:t xml:space="preserve">, putând rezulta într-o criză a monedei care să se transforme într-o criză bancară. </w:t>
      </w:r>
      <w:r w:rsidR="00083B60" w:rsidRPr="00AB6B4D">
        <w:t xml:space="preserve">Dacă rezervele valutare sunt </w:t>
      </w:r>
      <w:r w:rsidR="00B739C1" w:rsidRPr="00AB6B4D">
        <w:t>administrate de</w:t>
      </w:r>
      <w:r w:rsidR="00083B60" w:rsidRPr="00AB6B4D">
        <w:t xml:space="preserve"> autoritatea de intervenție</w:t>
      </w:r>
      <w:r w:rsidR="00C32E9D" w:rsidRPr="00AB6B4D">
        <w:t xml:space="preserve"> (dependentă politic)</w:t>
      </w:r>
      <w:r w:rsidR="00083B60" w:rsidRPr="00AB6B4D">
        <w:t>, nu există nicio garanție că managementul ratei de schimb se va face în concordanță cu ținta de inflație. Dimpotrivă, sub presiune politică, rata de schimb ar putea fi permanent supraevaluată. Ac</w:t>
      </w:r>
      <w:r w:rsidR="008205DD" w:rsidRPr="00AB6B4D">
        <w:t>e</w:t>
      </w:r>
      <w:r w:rsidR="00083B60" w:rsidRPr="00AB6B4D">
        <w:t xml:space="preserve">asta ar eroda </w:t>
      </w:r>
      <w:r w:rsidR="003C345C">
        <w:t>credibilitatea ancorei</w:t>
      </w:r>
      <w:r w:rsidR="00083B60" w:rsidRPr="00AB6B4D">
        <w:t xml:space="preserve"> inflației și ar mări șansele acumulării de dezechilibre externe.     </w:t>
      </w:r>
    </w:p>
    <w:p w:rsidR="00332E4C" w:rsidRPr="00AB6B4D" w:rsidRDefault="00C32E9D" w:rsidP="006E1599">
      <w:pPr>
        <w:spacing w:line="360" w:lineRule="auto"/>
      </w:pPr>
      <w:r w:rsidRPr="00AB6B4D">
        <w:t>Al patrulea</w:t>
      </w:r>
      <w:r w:rsidR="00D65111" w:rsidRPr="00AB6B4D">
        <w:t xml:space="preserve"> motiv pentru care o autoritate de intervenție este problematică este hazardul moral</w:t>
      </w:r>
      <w:r w:rsidRPr="00AB6B4D">
        <w:t xml:space="preserve"> care rezultă din garantarea intervenției</w:t>
      </w:r>
      <w:r w:rsidR="005428B0">
        <w:t xml:space="preserve"> (</w:t>
      </w:r>
      <w:r w:rsidR="00624808">
        <w:t>Gregorio, 2010; De Grauwe, 2011</w:t>
      </w:r>
      <w:r w:rsidR="005428B0">
        <w:t>)</w:t>
      </w:r>
      <w:r w:rsidR="00D65111" w:rsidRPr="00AB6B4D">
        <w:t xml:space="preserve">. În esență, autoritatea de intervenție funcționează ca o opțiune. În cazul unui eveniment negativ extrem, ea are aprobarea </w:t>
      </w:r>
      <w:r w:rsidR="00D65111" w:rsidRPr="00AB6B4D">
        <w:rPr>
          <w:i/>
        </w:rPr>
        <w:t>ex-ante</w:t>
      </w:r>
      <w:r w:rsidR="00D65111" w:rsidRPr="00AB6B4D">
        <w:t xml:space="preserve"> să-și extindă bilanțul în mod rapid prin emisiune de datorie garantată de guvern. </w:t>
      </w:r>
      <w:r w:rsidR="00CE11E6" w:rsidRPr="00AB6B4D">
        <w:t xml:space="preserve">În vremuri bune, </w:t>
      </w:r>
      <w:r w:rsidR="0032309A" w:rsidRPr="00AB6B4D">
        <w:t xml:space="preserve">rămâne “tăcută”. </w:t>
      </w:r>
      <w:r w:rsidR="00330255" w:rsidRPr="00AB6B4D">
        <w:t xml:space="preserve">Dar avem interesul să </w:t>
      </w:r>
      <w:r w:rsidR="00330255" w:rsidRPr="00AB6B4D">
        <w:lastRenderedPageBreak/>
        <w:t>emitem o astfel de garanție implicită</w:t>
      </w:r>
      <w:r w:rsidR="00D65111" w:rsidRPr="00AB6B4D">
        <w:t>?  Răspunsul este nu, deoarece</w:t>
      </w:r>
      <w:r w:rsidR="00624808">
        <w:t xml:space="preserve">, conform lui Gregorio (2010), </w:t>
      </w:r>
      <w:r w:rsidR="00D65111" w:rsidRPr="00AB6B4D">
        <w:t xml:space="preserve">o astfel de asigurare gratuită echivalează cu eliminarea incertitudinii privind </w:t>
      </w:r>
      <w:r w:rsidR="000A101E" w:rsidRPr="00AB6B4D">
        <w:t>intervenția și</w:t>
      </w:r>
      <w:r w:rsidR="00D65111" w:rsidRPr="00AB6B4D">
        <w:t xml:space="preserve">, astfel, reduce costul riscului la nivel privat. Un cost scăzut </w:t>
      </w:r>
      <w:r w:rsidR="000A101E" w:rsidRPr="00AB6B4D">
        <w:t xml:space="preserve">al riscului </w:t>
      </w:r>
      <w:r w:rsidR="00D65111" w:rsidRPr="00AB6B4D">
        <w:t>stimulează asumarea de riscuri mai</w:t>
      </w:r>
      <w:r w:rsidR="00CC2DB7" w:rsidRPr="00AB6B4D">
        <w:t xml:space="preserve"> mari de către agenții privați.</w:t>
      </w:r>
      <w:r w:rsidR="00D65111" w:rsidRPr="00AB6B4D">
        <w:t xml:space="preserve"> Hazard</w:t>
      </w:r>
      <w:r w:rsidR="00DB6093" w:rsidRPr="00AB6B4D">
        <w:t>ul</w:t>
      </w:r>
      <w:r w:rsidR="00D65111" w:rsidRPr="00AB6B4D">
        <w:t xml:space="preserve"> moral </w:t>
      </w:r>
      <w:r w:rsidR="00DB6093" w:rsidRPr="00AB6B4D">
        <w:t xml:space="preserve">s-ar extinde relativ repede și la </w:t>
      </w:r>
      <w:r w:rsidR="00D65111" w:rsidRPr="00AB6B4D">
        <w:t>reglementatori, supraveghetori și alți administratori ai sistemului financiar. Costurile hazardului moral ar putea întrece beneficiile care apar dintr-o intervenție rapidă, astfel că un anumit grad de incertitudine, asociat cu actuala structură de guvernanță ar putea fi de preferat</w:t>
      </w:r>
      <w:r w:rsidR="00576176" w:rsidRPr="00AB6B4D">
        <w:t xml:space="preserve"> (Gregorio, 2010)</w:t>
      </w:r>
      <w:r w:rsidR="00D65111" w:rsidRPr="00AB6B4D">
        <w:t>.</w:t>
      </w:r>
    </w:p>
    <w:p w:rsidR="00E97856" w:rsidRDefault="00E75756" w:rsidP="006E1599">
      <w:pPr>
        <w:spacing w:line="360" w:lineRule="auto"/>
      </w:pPr>
      <w:r w:rsidRPr="00AB6B4D">
        <w:t xml:space="preserve">În sfârșit, dar nu în ultimul rând, o nouă structură de guvernanță s-ar naște în paralel cu noi reglementări. </w:t>
      </w:r>
      <w:r w:rsidR="00F07DCD" w:rsidRPr="00AB6B4D">
        <w:t xml:space="preserve">O dovedesc experinețele recente atât din SUA cât și din Europa. </w:t>
      </w:r>
      <w:r w:rsidR="00EB2A96" w:rsidRPr="00AB6B4D">
        <w:t>Iar</w:t>
      </w:r>
      <w:r w:rsidR="00F07DCD" w:rsidRPr="00AB6B4D">
        <w:t xml:space="preserve"> n</w:t>
      </w:r>
      <w:r w:rsidRPr="00AB6B4D">
        <w:t xml:space="preserve">oile reglementări vor determina inovații la nivel microeconomic pentru a reduce costul asociat cu reglementarea. O autoritate însărcinată cu intervențiile în caz de criză va fi întotdeauna în urma inovațiilor pieței, pentru că dacă ar fi invers, crizele nu s-ar mai produce. De aceea, rezolvarea crizelor va cere întotdeauna inovații și inventivitate pentru crearea de soluții rapide. </w:t>
      </w:r>
    </w:p>
    <w:p w:rsidR="00D65111" w:rsidRPr="00AB6B4D" w:rsidRDefault="00E75756" w:rsidP="006E1599">
      <w:pPr>
        <w:spacing w:line="360" w:lineRule="auto"/>
        <w:rPr>
          <w:szCs w:val="24"/>
        </w:rPr>
      </w:pPr>
      <w:r w:rsidRPr="00AB6B4D">
        <w:t>În fața acestei nevoi, o autoritate de intervenție nu va fi cu nimic mai pregătită comprativ cu o bancă centrală. Dimpotrivă, în perioade de criză, banca centrală este poziționată cel mai bine pentru a asigura stabilitatea financiară.</w:t>
      </w:r>
      <w:r w:rsidR="00E97856">
        <w:t xml:space="preserve">Dar, așa cum se arată în raportul </w:t>
      </w:r>
      <w:r w:rsidR="00E97856" w:rsidRPr="00B67E6E">
        <w:rPr>
          <w:szCs w:val="24"/>
        </w:rPr>
        <w:t xml:space="preserve">EYGM Limited and OMFIF Limited </w:t>
      </w:r>
      <w:r w:rsidR="00E97856">
        <w:rPr>
          <w:szCs w:val="24"/>
        </w:rPr>
        <w:t xml:space="preserve">(2012, p 14), </w:t>
      </w:r>
      <w:r w:rsidR="00E97856">
        <w:rPr>
          <w:szCs w:val="24"/>
          <w:lang w:val="en-US"/>
        </w:rPr>
        <w:t>“</w:t>
      </w:r>
      <w:r w:rsidR="00E97856" w:rsidRPr="00E97856">
        <w:rPr>
          <w:szCs w:val="24"/>
        </w:rPr>
        <w:t xml:space="preserve">cu lumea politicii devenind tot mai nerăbdătoare să intre în posesia puterilor băncii centrale, </w:t>
      </w:r>
      <w:r w:rsidR="00E97856" w:rsidRPr="00E97856">
        <w:t>această viziune rămâne în minoritate.</w:t>
      </w:r>
      <w:r w:rsidR="00E97856">
        <w:rPr>
          <w:szCs w:val="24"/>
          <w:lang w:val="en-US"/>
        </w:rPr>
        <w:t>”</w:t>
      </w:r>
    </w:p>
    <w:p w:rsidR="00CC2DB7" w:rsidRPr="00AB6B4D" w:rsidRDefault="00CC2DB7" w:rsidP="00392D80">
      <w:pPr>
        <w:pStyle w:val="ListParagraph"/>
        <w:numPr>
          <w:ilvl w:val="0"/>
          <w:numId w:val="3"/>
        </w:numPr>
        <w:spacing w:line="360" w:lineRule="auto"/>
        <w:rPr>
          <w:i/>
          <w:sz w:val="24"/>
          <w:szCs w:val="24"/>
          <w:lang w:val="ro-RO"/>
        </w:rPr>
      </w:pPr>
      <w:r w:rsidRPr="00AB6B4D">
        <w:rPr>
          <w:i/>
          <w:sz w:val="24"/>
          <w:szCs w:val="24"/>
          <w:lang w:val="ro-RO"/>
        </w:rPr>
        <w:t>O altfel de soluție</w:t>
      </w:r>
    </w:p>
    <w:p w:rsidR="00046A5B" w:rsidRPr="00AB6B4D" w:rsidRDefault="00412450" w:rsidP="006E1599">
      <w:pPr>
        <w:spacing w:line="360" w:lineRule="auto"/>
      </w:pPr>
      <w:r w:rsidRPr="00AB6B4D">
        <w:t xml:space="preserve">Argumentele </w:t>
      </w:r>
      <w:r w:rsidR="00332E4C" w:rsidRPr="00AB6B4D">
        <w:t xml:space="preserve">din secțiunea a </w:t>
      </w:r>
      <w:r w:rsidR="003A260F" w:rsidRPr="00AB6B4D">
        <w:t>cincea</w:t>
      </w:r>
      <w:r w:rsidR="00332E4C" w:rsidRPr="00AB6B4D">
        <w:t xml:space="preserve">, referitoare la </w:t>
      </w:r>
      <w:r w:rsidR="00B67CCB" w:rsidRPr="00AB6B4D">
        <w:t>lipsa bazei democratice a</w:t>
      </w:r>
      <w:r w:rsidR="00332E4C" w:rsidRPr="00AB6B4D">
        <w:t xml:space="preserve"> op</w:t>
      </w:r>
      <w:r w:rsidR="00C1769C" w:rsidRPr="00AB6B4D">
        <w:t>e</w:t>
      </w:r>
      <w:r w:rsidR="00332E4C" w:rsidRPr="00AB6B4D">
        <w:t xml:space="preserve">rațiilor cvasifiscale și cele din secțiunea a </w:t>
      </w:r>
      <w:r w:rsidR="003A260F" w:rsidRPr="00AB6B4D">
        <w:t>șaptea</w:t>
      </w:r>
      <w:r w:rsidR="00332E4C" w:rsidRPr="00AB6B4D">
        <w:t xml:space="preserve">, referitoare la </w:t>
      </w:r>
      <w:r w:rsidR="00B67CCB" w:rsidRPr="00AB6B4D">
        <w:t>dezavantajele unei autorități de intervenție</w:t>
      </w:r>
      <w:r w:rsidRPr="00AB6B4D">
        <w:t xml:space="preserve">par să creeze o dilemă. Pe de o parte, </w:t>
      </w:r>
      <w:r w:rsidR="00697ABE" w:rsidRPr="00AB6B4D">
        <w:t xml:space="preserve">cineva ar putea trage concluzia că </w:t>
      </w:r>
      <w:r w:rsidR="002F6CAB" w:rsidRPr="00AB6B4D">
        <w:t>banca centrală ar trebui să se abțină de la operațiile cvasi-fiscale deoarece ele poartă riscul punerii în pericol a independenței sale operaționale</w:t>
      </w:r>
      <w:r w:rsidR="00046A5B" w:rsidRPr="00AB6B4D">
        <w:t xml:space="preserve"> și nu sunt democratice</w:t>
      </w:r>
      <w:r w:rsidR="002F6CAB" w:rsidRPr="00AB6B4D">
        <w:t xml:space="preserve">. </w:t>
      </w:r>
      <w:r w:rsidRPr="00AB6B4D">
        <w:t xml:space="preserve">Pe de altă parte, </w:t>
      </w:r>
      <w:r w:rsidR="00E75756" w:rsidRPr="00AB6B4D">
        <w:t xml:space="preserve">în caz de criză, actualul format al băncii centrale este mult mai adecvat pentru a face față </w:t>
      </w:r>
      <w:r w:rsidR="00046A5B" w:rsidRPr="00AB6B4D">
        <w:t xml:space="preserve">unei crize </w:t>
      </w:r>
      <w:r w:rsidR="00E75756" w:rsidRPr="00AB6B4D">
        <w:t>comparativ cu o autoritate de intervenție.</w:t>
      </w:r>
    </w:p>
    <w:p w:rsidR="00D51424" w:rsidRPr="00AB6B4D" w:rsidRDefault="00B90EC7" w:rsidP="006E1599">
      <w:pPr>
        <w:spacing w:line="360" w:lineRule="auto"/>
      </w:pPr>
      <w:r w:rsidRPr="00AB6B4D">
        <w:t>Dilema în</w:t>
      </w:r>
      <w:r w:rsidR="00C616F0" w:rsidRPr="00AB6B4D">
        <w:t xml:space="preserve"> fața căreia pare să ne aflăm este următoarea:</w:t>
      </w:r>
      <w:r w:rsidR="00046A5B" w:rsidRPr="00AB6B4D">
        <w:t>alegem ca operațiile cvasifiscale să fie efectuate de banca centrală</w:t>
      </w:r>
      <w:r w:rsidR="00B42AC4" w:rsidRPr="00AB6B4D">
        <w:t xml:space="preserve"> (în formatul său actual)</w:t>
      </w:r>
      <w:r w:rsidR="00C15B45" w:rsidRPr="00AB6B4D">
        <w:t>, dând prioritateeficienței</w:t>
      </w:r>
      <w:r w:rsidR="00046A5B" w:rsidRPr="00AB6B4D">
        <w:t xml:space="preserve"> operațiilor, în dauna democrației? Sau alegem democrația </w:t>
      </w:r>
      <w:r w:rsidR="00B42AC4" w:rsidRPr="00AB6B4D">
        <w:t xml:space="preserve">(modificând formatul actual al băncii </w:t>
      </w:r>
      <w:r w:rsidR="00B42AC4" w:rsidRPr="00AB6B4D">
        <w:lastRenderedPageBreak/>
        <w:t xml:space="preserve">centrale) </w:t>
      </w:r>
      <w:r w:rsidR="00046A5B" w:rsidRPr="00AB6B4D">
        <w:t xml:space="preserve">în dauna eficienței operațiilor de stabilitate financiară? </w:t>
      </w:r>
      <w:r w:rsidR="00C616F0" w:rsidRPr="00AB6B4D">
        <w:t xml:space="preserve">Această </w:t>
      </w:r>
      <w:r w:rsidR="00C87A6A" w:rsidRPr="00AB6B4D">
        <w:t xml:space="preserve">dilemă </w:t>
      </w:r>
      <w:r w:rsidR="00B42AC4" w:rsidRPr="00AB6B4D">
        <w:t>nu este însă autentică. Ea este doar</w:t>
      </w:r>
      <w:r w:rsidR="00C87A6A" w:rsidRPr="00AB6B4D">
        <w:t xml:space="preserve"> o consecință a </w:t>
      </w:r>
      <w:r w:rsidR="00B42AC4" w:rsidRPr="00AB6B4D">
        <w:t>propunerii de divizare a</w:t>
      </w:r>
      <w:r w:rsidR="00C87A6A" w:rsidRPr="00AB6B4D">
        <w:t xml:space="preserve"> structurii de guvernanță ca soluție </w:t>
      </w:r>
      <w:r w:rsidR="009C2B5E" w:rsidRPr="00AB6B4D">
        <w:t>pentru</w:t>
      </w:r>
      <w:r w:rsidR="00C616F0" w:rsidRPr="00AB6B4D">
        <w:t xml:space="preserve"> democratizarea operațiilor cvasifiscale ale băncii centrale. </w:t>
      </w:r>
    </w:p>
    <w:p w:rsidR="00430C8F" w:rsidRPr="00AB6B4D" w:rsidRDefault="00D51424" w:rsidP="006E1599">
      <w:pPr>
        <w:spacing w:line="360" w:lineRule="auto"/>
      </w:pPr>
      <w:r w:rsidRPr="00AB6B4D">
        <w:t>Sub propunerea de c</w:t>
      </w:r>
      <w:r w:rsidR="00C616F0" w:rsidRPr="00AB6B4D">
        <w:t>rearea une</w:t>
      </w:r>
      <w:r w:rsidRPr="00AB6B4D">
        <w:t>i</w:t>
      </w:r>
      <w:r w:rsidR="00C616F0" w:rsidRPr="00AB6B4D">
        <w:t xml:space="preserve"> autorități de intervenție</w:t>
      </w:r>
      <w:r w:rsidRPr="00AB6B4D">
        <w:t xml:space="preserve"> se </w:t>
      </w:r>
      <w:r w:rsidR="00430C8F" w:rsidRPr="00AB6B4D">
        <w:t>ascund, de fapt, propuneri pentru</w:t>
      </w:r>
      <w:r w:rsidRPr="00AB6B4D">
        <w:t xml:space="preserve"> două schimbări </w:t>
      </w:r>
      <w:r w:rsidR="00430C8F" w:rsidRPr="00AB6B4D">
        <w:t>majore față de situația actuală. Prima, și cea mai importantă</w:t>
      </w:r>
      <w:r w:rsidR="00DB5883">
        <w:t>,</w:t>
      </w:r>
      <w:r w:rsidR="00430C8F" w:rsidRPr="00AB6B4D">
        <w:t xml:space="preserve"> este</w:t>
      </w:r>
      <w:r w:rsidR="00C616F0" w:rsidRPr="00AB6B4D">
        <w:t xml:space="preserve">mutarea responsabilității pentru operațiile fiscale </w:t>
      </w:r>
      <w:r w:rsidR="00430C8F" w:rsidRPr="00AB6B4D">
        <w:t>la</w:t>
      </w:r>
      <w:r w:rsidRPr="00AB6B4D">
        <w:t xml:space="preserve"> organisme c</w:t>
      </w:r>
      <w:r w:rsidR="00430C8F" w:rsidRPr="00AB6B4D">
        <w:t xml:space="preserve">are reflectă voința democratică. A doua este </w:t>
      </w:r>
      <w:r w:rsidRPr="00AB6B4D">
        <w:t xml:space="preserve">schimbarea structurii de guvernanță a băncii centrale, </w:t>
      </w:r>
      <w:r w:rsidR="00683290" w:rsidRPr="00AB6B4D">
        <w:t>adică î</w:t>
      </w:r>
      <w:r w:rsidR="00430C8F" w:rsidRPr="00AB6B4D">
        <w:t>nsăși crearea autorității de intervenție. Prima schimbare este strict necesară, în timp ce a doua nu numai că este nenecesară, dar este și ineficientă, așa cum am arătat în secțiunea a cincea.</w:t>
      </w:r>
    </w:p>
    <w:p w:rsidR="00634D63" w:rsidRPr="00AB6B4D" w:rsidRDefault="00430C8F" w:rsidP="006E1599">
      <w:pPr>
        <w:spacing w:line="360" w:lineRule="auto"/>
      </w:pPr>
      <w:r w:rsidRPr="00AB6B4D">
        <w:t xml:space="preserve">Întrucât nu are rost să producem o schimbare nenecesară care ar fi și ineficientă, </w:t>
      </w:r>
      <w:r w:rsidR="0032309A" w:rsidRPr="00AB6B4D">
        <w:t>dilema dispare. R</w:t>
      </w:r>
      <w:r w:rsidRPr="00AB6B4D">
        <w:t xml:space="preserve">ămâne doar să identificăm cum poate fi făcută mai bine trecerea responsabilității operațiilor cvasifiscale pe care le implementează banca centrală în sarcina unei structuri democratice. </w:t>
      </w:r>
      <w:r w:rsidR="0047710E" w:rsidRPr="00AB6B4D">
        <w:t xml:space="preserve">Sau, cum a </w:t>
      </w:r>
      <w:r w:rsidR="00182C1E" w:rsidRPr="00AB6B4D">
        <w:t>spus</w:t>
      </w:r>
      <w:r w:rsidR="00A1027F" w:rsidRPr="00AB6B4D">
        <w:t xml:space="preserve"> guvernatorul</w:t>
      </w:r>
      <w:r w:rsidR="00286140" w:rsidRPr="00AB6B4D">
        <w:t xml:space="preserve"> B</w:t>
      </w:r>
      <w:r w:rsidR="0047710E" w:rsidRPr="00AB6B4D">
        <w:t>ăncii Japoniei</w:t>
      </w:r>
      <w:r w:rsidR="00286140" w:rsidRPr="00AB6B4D">
        <w:t xml:space="preserve"> (Sirakawa, 2008)</w:t>
      </w:r>
      <w:r w:rsidR="0047710E" w:rsidRPr="00AB6B4D">
        <w:t xml:space="preserve">, trebuie să stabilim cine poartă răspunderea </w:t>
      </w:r>
      <w:r w:rsidR="00286140" w:rsidRPr="00AB6B4D">
        <w:t xml:space="preserve">pentru </w:t>
      </w:r>
      <w:r w:rsidR="0047710E" w:rsidRPr="00AB6B4D">
        <w:t>operațiile cvasifiscale</w:t>
      </w:r>
      <w:r w:rsidR="00286140" w:rsidRPr="00AB6B4D">
        <w:t xml:space="preserve"> într-o societate democratică</w:t>
      </w:r>
      <w:r w:rsidR="0047710E" w:rsidRPr="00AB6B4D">
        <w:t xml:space="preserve">. </w:t>
      </w:r>
      <w:r w:rsidR="0032309A" w:rsidRPr="00AB6B4D">
        <w:t>Dacă răspunderea o poartă autoritatea fiscală, atunci</w:t>
      </w:r>
      <w:r w:rsidR="00FF6E7D" w:rsidRPr="00AB6B4D">
        <w:t>, a</w:t>
      </w:r>
      <w:r w:rsidR="00A1027F" w:rsidRPr="00AB6B4D">
        <w:t>șa cum a sugerat guvernatorul B</w:t>
      </w:r>
      <w:r w:rsidR="0087251F" w:rsidRPr="00AB6B4D">
        <w:t xml:space="preserve">ăncii </w:t>
      </w:r>
      <w:r w:rsidR="00A1027F" w:rsidRPr="00AB6B4D">
        <w:t xml:space="preserve">Centrale a </w:t>
      </w:r>
      <w:r w:rsidR="0087251F" w:rsidRPr="00AB6B4D">
        <w:t>Ciprului</w:t>
      </w:r>
      <w:r w:rsidR="00DB5883">
        <w:t xml:space="preserve"> (Gregorio, 2010)</w:t>
      </w:r>
      <w:r w:rsidR="0087251F" w:rsidRPr="00AB6B4D">
        <w:t xml:space="preserve">, </w:t>
      </w:r>
      <w:r w:rsidR="00FF6E7D" w:rsidRPr="00AB6B4D">
        <w:t xml:space="preserve">trebuie agreeate </w:t>
      </w:r>
      <w:r w:rsidR="00FF6E7D" w:rsidRPr="00AB6B4D">
        <w:rPr>
          <w:i/>
        </w:rPr>
        <w:t>ex-ante</w:t>
      </w:r>
      <w:r w:rsidR="00FF6E7D" w:rsidRPr="00AB6B4D">
        <w:t xml:space="preserve"> modul de finanțare a pierderilor și suportarea lor de către autoritatea fiscală.</w:t>
      </w:r>
    </w:p>
    <w:p w:rsidR="00634D63" w:rsidRPr="00AB6B4D" w:rsidRDefault="00FF6E7D" w:rsidP="006E1599">
      <w:pPr>
        <w:spacing w:line="360" w:lineRule="auto"/>
      </w:pPr>
      <w:r w:rsidRPr="00AB6B4D">
        <w:t xml:space="preserve">Pentru a fi </w:t>
      </w:r>
      <w:r w:rsidR="002D7367" w:rsidRPr="00AB6B4D">
        <w:t>completă</w:t>
      </w:r>
      <w:r w:rsidR="00DB5883">
        <w:t xml:space="preserve"> însă</w:t>
      </w:r>
      <w:r w:rsidR="002D7367" w:rsidRPr="00AB6B4D">
        <w:t xml:space="preserve">, </w:t>
      </w:r>
      <w:r w:rsidRPr="00AB6B4D">
        <w:t>pe lângă</w:t>
      </w:r>
      <w:r w:rsidR="0087251F" w:rsidRPr="00AB6B4D">
        <w:t xml:space="preserve"> suportarea pierderilor de către autoritatea fiscală</w:t>
      </w:r>
      <w:r w:rsidRPr="00AB6B4D">
        <w:t xml:space="preserve"> și </w:t>
      </w:r>
      <w:r w:rsidR="00AA086C" w:rsidRPr="00AB6B4D">
        <w:t xml:space="preserve">definirea </w:t>
      </w:r>
      <w:r w:rsidRPr="00AB6B4D">
        <w:t>modul</w:t>
      </w:r>
      <w:r w:rsidR="00AA086C" w:rsidRPr="00AB6B4D">
        <w:t>ui</w:t>
      </w:r>
      <w:r w:rsidRPr="00AB6B4D">
        <w:t xml:space="preserve"> de finanțare a pierderilo</w:t>
      </w:r>
      <w:r w:rsidR="00AA086C" w:rsidRPr="00AB6B4D">
        <w:t>r</w:t>
      </w:r>
      <w:r w:rsidRPr="00AB6B4D">
        <w:t xml:space="preserve">, </w:t>
      </w:r>
      <w:r w:rsidR="00AA086C" w:rsidRPr="00AB6B4D">
        <w:t xml:space="preserve">soluția ar trebui să conțină și agreearea </w:t>
      </w:r>
      <w:r w:rsidR="00AA086C" w:rsidRPr="00AB6B4D">
        <w:rPr>
          <w:i/>
        </w:rPr>
        <w:t>ex-ante</w:t>
      </w:r>
      <w:r w:rsidR="00AA086C" w:rsidRPr="00AB6B4D">
        <w:t xml:space="preserve"> a </w:t>
      </w:r>
      <w:r w:rsidR="007267E1" w:rsidRPr="00AB6B4D">
        <w:t xml:space="preserve">limitei </w:t>
      </w:r>
      <w:r w:rsidR="00AA086C" w:rsidRPr="00AB6B4D">
        <w:t>până la care autoritatea fiscală își asumă pierderi</w:t>
      </w:r>
      <w:r w:rsidR="0087251F" w:rsidRPr="00AB6B4D">
        <w:t>.</w:t>
      </w:r>
      <w:r w:rsidR="0032309A" w:rsidRPr="00AB6B4D">
        <w:t>Park (2012) a arătat că sprijinul total al autorității fiscale acordat operațiilor cvasifiscale ale autorității monetare este o precondiție a unei politici monetare efective.</w:t>
      </w:r>
      <w:r w:rsidR="004D674F" w:rsidRPr="00AB6B4D">
        <w:t>Aceasta ar fi o soluție elegantă</w:t>
      </w:r>
      <w:r w:rsidR="00B90EC7" w:rsidRPr="00AB6B4D">
        <w:t xml:space="preserve"> pentru democratizarea operațiilor</w:t>
      </w:r>
      <w:r w:rsidR="004D674F" w:rsidRPr="00AB6B4D">
        <w:t xml:space="preserve"> cvasifiscale conduse de banca centrală. </w:t>
      </w:r>
      <w:r w:rsidR="00EB2A96" w:rsidRPr="00AB6B4D">
        <w:t xml:space="preserve">Ea ar fi </w:t>
      </w:r>
      <w:r w:rsidR="00B739C1" w:rsidRPr="00AB6B4D">
        <w:t xml:space="preserve">însă </w:t>
      </w:r>
      <w:r w:rsidR="00EB2A96" w:rsidRPr="00AB6B4D">
        <w:t>dificil de aplicat în zonele monetare care nu se bazează pe o uniune fiscală.</w:t>
      </w:r>
      <w:r w:rsidR="00AD4449" w:rsidRPr="00AB6B4D">
        <w:t xml:space="preserve"> Dar </w:t>
      </w:r>
      <w:r w:rsidR="0032309A" w:rsidRPr="00AB6B4D">
        <w:t xml:space="preserve">lipsa uniunii fiscale </w:t>
      </w:r>
      <w:r w:rsidR="00AD4449" w:rsidRPr="00AB6B4D">
        <w:t>nu este un argument în favoarea unei autorități de intervenție, ci în favoarea urgentării unui proces de creare a uniunii fiscale.</w:t>
      </w:r>
    </w:p>
    <w:p w:rsidR="003B7BD8" w:rsidRPr="00AB6B4D" w:rsidRDefault="00712308" w:rsidP="006E1599">
      <w:pPr>
        <w:autoSpaceDE w:val="0"/>
        <w:autoSpaceDN w:val="0"/>
        <w:adjustRightInd w:val="0"/>
        <w:spacing w:after="0" w:line="360" w:lineRule="auto"/>
      </w:pPr>
      <w:r w:rsidRPr="00AB6B4D">
        <w:t>Ar fi păcat c</w:t>
      </w:r>
      <w:r w:rsidR="00EB2A96" w:rsidRPr="00AB6B4D">
        <w:t>a după ce vor scoate economiile</w:t>
      </w:r>
      <w:r w:rsidRPr="00AB6B4D">
        <w:t xml:space="preserve"> dezvoltate din </w:t>
      </w:r>
      <w:r w:rsidR="00064E6D" w:rsidRPr="00AB6B4D">
        <w:t>criza în care se află</w:t>
      </w:r>
      <w:r w:rsidRPr="00AB6B4D">
        <w:t xml:space="preserve">, băncilor centrale </w:t>
      </w:r>
      <w:r w:rsidR="004D674F" w:rsidRPr="00AB6B4D">
        <w:t xml:space="preserve">să li se </w:t>
      </w:r>
      <w:r w:rsidR="007267E1" w:rsidRPr="00AB6B4D">
        <w:t>“mulțumească” prin modificarea structurii</w:t>
      </w:r>
      <w:r w:rsidR="004D674F" w:rsidRPr="00AB6B4D">
        <w:t xml:space="preserve"> de guvernanță. </w:t>
      </w:r>
      <w:r w:rsidR="004227FD" w:rsidRPr="00AB6B4D">
        <w:t>Divizarea structurii de guvernanță a băncii centrale</w:t>
      </w:r>
      <w:r w:rsidR="004D674F" w:rsidRPr="00AB6B4D">
        <w:t xml:space="preserve"> ar fi validarea neproductivă a proverbului românesc </w:t>
      </w:r>
      <w:r w:rsidR="00B90EC7" w:rsidRPr="00AB6B4D">
        <w:t>“</w:t>
      </w:r>
      <w:r w:rsidR="004D674F" w:rsidRPr="00AB6B4D">
        <w:t>pe cine nu lași să moară nu te lasă să trăiești”</w:t>
      </w:r>
    </w:p>
    <w:p w:rsidR="00182C1E" w:rsidRPr="00AB6B4D" w:rsidRDefault="00182C1E" w:rsidP="006E1599">
      <w:pPr>
        <w:spacing w:line="360" w:lineRule="auto"/>
      </w:pPr>
      <w:r w:rsidRPr="00AB6B4D">
        <w:br w:type="page"/>
      </w:r>
    </w:p>
    <w:p w:rsidR="0060604F" w:rsidRPr="00AB6B4D" w:rsidRDefault="008F640F" w:rsidP="006E1599">
      <w:pPr>
        <w:spacing w:line="360" w:lineRule="auto"/>
        <w:rPr>
          <w:b/>
          <w:szCs w:val="24"/>
        </w:rPr>
      </w:pPr>
      <w:r w:rsidRPr="00AB6B4D">
        <w:rPr>
          <w:b/>
          <w:szCs w:val="24"/>
        </w:rPr>
        <w:lastRenderedPageBreak/>
        <w:t>Bibliografie</w:t>
      </w:r>
    </w:p>
    <w:p w:rsidR="006F0E35" w:rsidRDefault="0064253F" w:rsidP="006F0E35">
      <w:pPr>
        <w:spacing w:line="360" w:lineRule="auto"/>
        <w:rPr>
          <w:szCs w:val="24"/>
        </w:rPr>
      </w:pPr>
      <w:r>
        <w:rPr>
          <w:szCs w:val="24"/>
        </w:rPr>
        <w:t xml:space="preserve">Bernanke, Ben S. and </w:t>
      </w:r>
      <w:r w:rsidR="009C2250" w:rsidRPr="00AB6B4D">
        <w:rPr>
          <w:szCs w:val="24"/>
        </w:rPr>
        <w:t xml:space="preserve">Reinhart, Vincent R. (2004). </w:t>
      </w:r>
      <w:r w:rsidR="009C2250" w:rsidRPr="00AB6B4D">
        <w:rPr>
          <w:i/>
          <w:szCs w:val="24"/>
        </w:rPr>
        <w:t>Conducting Monetary Policy at Very Low Short-Term Interest Rates</w:t>
      </w:r>
      <w:r w:rsidR="009C2250" w:rsidRPr="00AB6B4D">
        <w:rPr>
          <w:szCs w:val="24"/>
        </w:rPr>
        <w:t>, American Economic Review, Vol. 94, No. 2.</w:t>
      </w:r>
    </w:p>
    <w:p w:rsidR="00005FD9" w:rsidRDefault="00005FD9" w:rsidP="006F0E35">
      <w:pPr>
        <w:spacing w:line="360" w:lineRule="auto"/>
        <w:rPr>
          <w:szCs w:val="24"/>
        </w:rPr>
      </w:pPr>
      <w:r w:rsidRPr="00005FD9">
        <w:rPr>
          <w:szCs w:val="24"/>
        </w:rPr>
        <w:t xml:space="preserve">Calvo, A. Guillermo (1991). </w:t>
      </w:r>
      <w:r w:rsidRPr="00005FD9">
        <w:rPr>
          <w:i/>
          <w:szCs w:val="24"/>
        </w:rPr>
        <w:t>The Perils of Sterilization</w:t>
      </w:r>
      <w:r w:rsidRPr="00005FD9">
        <w:rPr>
          <w:szCs w:val="24"/>
        </w:rPr>
        <w:t>, IMF, Staff Papers, Vol. 38, No. 4 (Dec.), 921-926.</w:t>
      </w:r>
    </w:p>
    <w:p w:rsidR="00344890" w:rsidRDefault="00344890" w:rsidP="00344890">
      <w:pPr>
        <w:spacing w:line="360" w:lineRule="auto"/>
        <w:rPr>
          <w:szCs w:val="24"/>
        </w:rPr>
      </w:pPr>
      <w:r w:rsidRPr="00B67E6E">
        <w:rPr>
          <w:szCs w:val="24"/>
        </w:rPr>
        <w:t>Checchetti, Stephen (2012</w:t>
      </w:r>
      <w:r>
        <w:rPr>
          <w:szCs w:val="24"/>
        </w:rPr>
        <w:t>a</w:t>
      </w:r>
      <w:r w:rsidRPr="00B67E6E">
        <w:rPr>
          <w:szCs w:val="24"/>
        </w:rPr>
        <w:t>),</w:t>
      </w:r>
      <w:r>
        <w:rPr>
          <w:szCs w:val="24"/>
        </w:rPr>
        <w:t xml:space="preserve"> citat de Hilsenrath, Jon and Balckstone, Brian (2012), </w:t>
      </w:r>
      <w:r>
        <w:rPr>
          <w:szCs w:val="24"/>
          <w:lang w:val="en-US"/>
        </w:rPr>
        <w:t>“Inside the Risky Bets of Central Banks”, The Wall Street</w:t>
      </w:r>
      <w:r>
        <w:rPr>
          <w:szCs w:val="24"/>
        </w:rPr>
        <w:t xml:space="preserve"> Journal, December 12.</w:t>
      </w:r>
    </w:p>
    <w:p w:rsidR="00344890" w:rsidRPr="00005FD9" w:rsidRDefault="00344890" w:rsidP="00344890">
      <w:pPr>
        <w:spacing w:line="360" w:lineRule="auto"/>
        <w:rPr>
          <w:szCs w:val="24"/>
        </w:rPr>
      </w:pPr>
      <w:r w:rsidRPr="00B67E6E">
        <w:rPr>
          <w:szCs w:val="24"/>
        </w:rPr>
        <w:t>Checchetti, Stephen (2012</w:t>
      </w:r>
      <w:r>
        <w:rPr>
          <w:szCs w:val="24"/>
        </w:rPr>
        <w:t>b</w:t>
      </w:r>
      <w:r w:rsidRPr="00B67E6E">
        <w:rPr>
          <w:szCs w:val="24"/>
        </w:rPr>
        <w:t xml:space="preserve">), </w:t>
      </w:r>
      <w:r>
        <w:rPr>
          <w:szCs w:val="24"/>
        </w:rPr>
        <w:t xml:space="preserve">citat în </w:t>
      </w:r>
      <w:r w:rsidRPr="00B67E6E">
        <w:rPr>
          <w:szCs w:val="24"/>
        </w:rPr>
        <w:t>“Challenges for central banks: wider powers, greater restraints. The financial crisis and its aftermath”, EYGM Limited and OMFIF Limited (statement to OMFIF, emailed response to survey, 20 February 2012</w:t>
      </w:r>
      <w:r>
        <w:rPr>
          <w:szCs w:val="24"/>
        </w:rPr>
        <w:t>, p. 11</w:t>
      </w:r>
      <w:r w:rsidRPr="00B67E6E">
        <w:rPr>
          <w:szCs w:val="24"/>
        </w:rPr>
        <w:t>).</w:t>
      </w:r>
    </w:p>
    <w:p w:rsidR="00B739C1" w:rsidRDefault="00B739C1" w:rsidP="00F65C0E">
      <w:pPr>
        <w:autoSpaceDE w:val="0"/>
        <w:autoSpaceDN w:val="0"/>
        <w:adjustRightInd w:val="0"/>
        <w:spacing w:line="360" w:lineRule="auto"/>
        <w:rPr>
          <w:szCs w:val="24"/>
        </w:rPr>
      </w:pPr>
      <w:r w:rsidRPr="00AB6B4D">
        <w:rPr>
          <w:szCs w:val="24"/>
        </w:rPr>
        <w:t>Cook and Debreaux (2011), “Sharing The Burden: Monetary And Fiscal Responses to a World Liquidity Trap” NBER Working Paper 17131, June.</w:t>
      </w:r>
    </w:p>
    <w:p w:rsidR="00344890" w:rsidRDefault="00344890" w:rsidP="00F65C0E">
      <w:pPr>
        <w:autoSpaceDE w:val="0"/>
        <w:autoSpaceDN w:val="0"/>
        <w:adjustRightInd w:val="0"/>
        <w:spacing w:line="360" w:lineRule="auto"/>
        <w:rPr>
          <w:szCs w:val="24"/>
        </w:rPr>
      </w:pPr>
      <w:r>
        <w:rPr>
          <w:szCs w:val="24"/>
        </w:rPr>
        <w:t>Croitoru, Lucian (2012), „Plitica monetară: ipostaze neconvenționale”, Curtea Veche Publishing, pp. 31-32.</w:t>
      </w:r>
    </w:p>
    <w:p w:rsidR="005E5F14" w:rsidRPr="002A04DF" w:rsidRDefault="005E5F14" w:rsidP="005E5F14">
      <w:pPr>
        <w:tabs>
          <w:tab w:val="right" w:pos="9072"/>
        </w:tabs>
        <w:autoSpaceDE w:val="0"/>
        <w:autoSpaceDN w:val="0"/>
        <w:adjustRightInd w:val="0"/>
        <w:spacing w:after="0" w:line="240" w:lineRule="auto"/>
        <w:rPr>
          <w:szCs w:val="24"/>
        </w:rPr>
      </w:pPr>
      <w:r w:rsidRPr="002A04DF">
        <w:rPr>
          <w:szCs w:val="24"/>
        </w:rPr>
        <w:t>De Grauwe</w:t>
      </w:r>
      <w:r>
        <w:rPr>
          <w:szCs w:val="24"/>
        </w:rPr>
        <w:t xml:space="preserve">, </w:t>
      </w:r>
      <w:r w:rsidRPr="002A04DF">
        <w:rPr>
          <w:szCs w:val="24"/>
        </w:rPr>
        <w:t>Paul</w:t>
      </w:r>
      <w:r>
        <w:rPr>
          <w:szCs w:val="24"/>
        </w:rPr>
        <w:t xml:space="preserve"> (2011), </w:t>
      </w:r>
      <w:r>
        <w:rPr>
          <w:szCs w:val="24"/>
          <w:lang w:val="en-US"/>
        </w:rPr>
        <w:t>“</w:t>
      </w:r>
      <w:r w:rsidRPr="002A04DF">
        <w:rPr>
          <w:szCs w:val="24"/>
        </w:rPr>
        <w:t>The European Central Bank: Lender of Last</w:t>
      </w:r>
      <w:r>
        <w:rPr>
          <w:szCs w:val="24"/>
        </w:rPr>
        <w:tab/>
      </w:r>
    </w:p>
    <w:p w:rsidR="005E5F14" w:rsidRPr="00AB6B4D" w:rsidRDefault="005E5F14" w:rsidP="005E5F14">
      <w:pPr>
        <w:autoSpaceDE w:val="0"/>
        <w:autoSpaceDN w:val="0"/>
        <w:adjustRightInd w:val="0"/>
        <w:spacing w:line="360" w:lineRule="auto"/>
        <w:rPr>
          <w:szCs w:val="24"/>
        </w:rPr>
      </w:pPr>
      <w:r w:rsidRPr="002A04DF">
        <w:rPr>
          <w:szCs w:val="24"/>
        </w:rPr>
        <w:t xml:space="preserve">Resort </w:t>
      </w:r>
      <w:r>
        <w:rPr>
          <w:szCs w:val="24"/>
        </w:rPr>
        <w:t>in the Government Bond Markets?</w:t>
      </w:r>
      <w:r>
        <w:rPr>
          <w:szCs w:val="24"/>
          <w:lang w:val="en-US"/>
        </w:rPr>
        <w:t>”</w:t>
      </w:r>
      <w:r>
        <w:rPr>
          <w:szCs w:val="24"/>
        </w:rPr>
        <w:t xml:space="preserve">, </w:t>
      </w:r>
      <w:r w:rsidRPr="002A04DF">
        <w:rPr>
          <w:szCs w:val="24"/>
        </w:rPr>
        <w:t>CESIFO WORKING PAPER NO. 3569</w:t>
      </w:r>
      <w:r>
        <w:rPr>
          <w:szCs w:val="24"/>
        </w:rPr>
        <w:t>, pp. 8-9.</w:t>
      </w:r>
    </w:p>
    <w:p w:rsidR="00F65C0E" w:rsidRPr="00AB6B4D" w:rsidRDefault="00F65C0E" w:rsidP="00F65C0E">
      <w:pPr>
        <w:autoSpaceDE w:val="0"/>
        <w:autoSpaceDN w:val="0"/>
        <w:adjustRightInd w:val="0"/>
        <w:spacing w:line="240" w:lineRule="auto"/>
        <w:rPr>
          <w:bCs/>
          <w:szCs w:val="24"/>
        </w:rPr>
      </w:pPr>
      <w:r w:rsidRPr="00AB6B4D">
        <w:rPr>
          <w:bCs/>
          <w:szCs w:val="24"/>
        </w:rPr>
        <w:t>DeLong, J. Bredford and Summers, H. Lawrence (2012), „Fiscal Policy in a Depressed Economy”, March.</w:t>
      </w:r>
    </w:p>
    <w:p w:rsidR="00972710" w:rsidRPr="00AB6B4D" w:rsidRDefault="00972710" w:rsidP="00F65C0E">
      <w:pPr>
        <w:spacing w:line="360" w:lineRule="auto"/>
        <w:rPr>
          <w:szCs w:val="24"/>
        </w:rPr>
      </w:pPr>
      <w:r w:rsidRPr="00AB6B4D">
        <w:rPr>
          <w:szCs w:val="24"/>
        </w:rPr>
        <w:t>Flandreau, Marc (2010), „Comments on “Minimizing Monetary Policy” by Peter Stella, prepared for the 9</w:t>
      </w:r>
      <w:r w:rsidRPr="00AB6B4D">
        <w:rPr>
          <w:szCs w:val="24"/>
          <w:vertAlign w:val="superscript"/>
        </w:rPr>
        <w:t>th</w:t>
      </w:r>
      <w:r w:rsidRPr="00AB6B4D">
        <w:rPr>
          <w:szCs w:val="24"/>
        </w:rPr>
        <w:t xml:space="preserve"> BIS Annual Conference, </w:t>
      </w:r>
      <w:r w:rsidRPr="00AB6B4D">
        <w:rPr>
          <w:i/>
          <w:szCs w:val="24"/>
        </w:rPr>
        <w:t>The Future of Central Banking under Post-Crisis Mandate</w:t>
      </w:r>
      <w:r w:rsidRPr="00AB6B4D">
        <w:rPr>
          <w:szCs w:val="24"/>
        </w:rPr>
        <w:t>, Lucerne, Switzerland, June 24-25.</w:t>
      </w:r>
    </w:p>
    <w:p w:rsidR="008F640F" w:rsidRPr="00AB6B4D" w:rsidRDefault="008F640F" w:rsidP="00F65C0E">
      <w:pPr>
        <w:spacing w:line="360" w:lineRule="auto"/>
        <w:rPr>
          <w:szCs w:val="24"/>
        </w:rPr>
      </w:pPr>
      <w:r w:rsidRPr="00AB6B4D">
        <w:rPr>
          <w:szCs w:val="24"/>
        </w:rPr>
        <w:t>Gregorio, José De (2010), „Comments on “Minimizing Monetary Policy” by Peter Stella, prepared for the 9</w:t>
      </w:r>
      <w:r w:rsidRPr="00AB6B4D">
        <w:rPr>
          <w:szCs w:val="24"/>
          <w:vertAlign w:val="superscript"/>
        </w:rPr>
        <w:t>th</w:t>
      </w:r>
      <w:r w:rsidRPr="00AB6B4D">
        <w:rPr>
          <w:szCs w:val="24"/>
        </w:rPr>
        <w:t xml:space="preserve"> BIS Annual Conference, </w:t>
      </w:r>
      <w:r w:rsidRPr="00AB6B4D">
        <w:rPr>
          <w:i/>
          <w:szCs w:val="24"/>
        </w:rPr>
        <w:t>The Future of Central Banking under Post-Crisis Mandate</w:t>
      </w:r>
      <w:r w:rsidRPr="00AB6B4D">
        <w:rPr>
          <w:szCs w:val="24"/>
        </w:rPr>
        <w:t>, Lucerne, Switzerland, June 24-25.</w:t>
      </w:r>
    </w:p>
    <w:p w:rsidR="0064253F" w:rsidRDefault="00972710" w:rsidP="00F65C0E">
      <w:pPr>
        <w:spacing w:line="360" w:lineRule="auto"/>
        <w:rPr>
          <w:szCs w:val="24"/>
        </w:rPr>
      </w:pPr>
      <w:r w:rsidRPr="00AB6B4D">
        <w:rPr>
          <w:szCs w:val="24"/>
        </w:rPr>
        <w:t>Goodhart, Charles</w:t>
      </w:r>
      <w:r w:rsidR="008F640F" w:rsidRPr="00AB6B4D">
        <w:rPr>
          <w:szCs w:val="24"/>
        </w:rPr>
        <w:t xml:space="preserve"> (2010), The Changing Role of Central Banks, prepared for the 9</w:t>
      </w:r>
      <w:r w:rsidR="008F640F" w:rsidRPr="00AB6B4D">
        <w:rPr>
          <w:szCs w:val="24"/>
          <w:vertAlign w:val="superscript"/>
        </w:rPr>
        <w:t>th</w:t>
      </w:r>
      <w:r w:rsidR="008F640F" w:rsidRPr="00AB6B4D">
        <w:rPr>
          <w:szCs w:val="24"/>
        </w:rPr>
        <w:t xml:space="preserve"> BIS Annual Conference, </w:t>
      </w:r>
      <w:r w:rsidR="008F640F" w:rsidRPr="00AB6B4D">
        <w:rPr>
          <w:i/>
          <w:szCs w:val="24"/>
        </w:rPr>
        <w:t>The Future of Central Banking under Post-Crisis Mandate</w:t>
      </w:r>
      <w:r w:rsidR="008F640F" w:rsidRPr="00AB6B4D">
        <w:rPr>
          <w:szCs w:val="24"/>
        </w:rPr>
        <w:t>, Lucerne, Switzerland, June 24-25.</w:t>
      </w:r>
    </w:p>
    <w:p w:rsidR="006A735A" w:rsidRDefault="0064253F" w:rsidP="00F65C0E">
      <w:pPr>
        <w:spacing w:line="360" w:lineRule="auto"/>
        <w:rPr>
          <w:szCs w:val="24"/>
        </w:rPr>
      </w:pPr>
      <w:r>
        <w:rPr>
          <w:szCs w:val="24"/>
        </w:rPr>
        <w:t xml:space="preserve">Hilsenrath, Jon and Balckstone, Brian (2012), </w:t>
      </w:r>
      <w:r>
        <w:rPr>
          <w:szCs w:val="24"/>
          <w:lang w:val="en-US"/>
        </w:rPr>
        <w:t xml:space="preserve">“Inside the Risky Bets of Central Banks”, </w:t>
      </w:r>
      <w:r w:rsidR="006A735A">
        <w:rPr>
          <w:szCs w:val="24"/>
          <w:lang w:val="en-US"/>
        </w:rPr>
        <w:t>The Wall Street</w:t>
      </w:r>
      <w:r w:rsidR="006A735A">
        <w:rPr>
          <w:szCs w:val="24"/>
        </w:rPr>
        <w:t>Journal, December 12.</w:t>
      </w:r>
    </w:p>
    <w:p w:rsidR="001224B7" w:rsidRPr="001224B7" w:rsidRDefault="001224B7" w:rsidP="00F65C0E">
      <w:pPr>
        <w:spacing w:line="360" w:lineRule="auto"/>
        <w:rPr>
          <w:szCs w:val="24"/>
        </w:rPr>
      </w:pPr>
      <w:r>
        <w:rPr>
          <w:color w:val="000000"/>
          <w:szCs w:val="24"/>
        </w:rPr>
        <w:lastRenderedPageBreak/>
        <w:t>Isărescu, Mugur (2012</w:t>
      </w:r>
      <w:r w:rsidRPr="001224B7">
        <w:rPr>
          <w:color w:val="000000"/>
          <w:szCs w:val="24"/>
        </w:rPr>
        <w:t xml:space="preserve">). </w:t>
      </w:r>
      <w:r>
        <w:rPr>
          <w:color w:val="000000"/>
          <w:szCs w:val="24"/>
          <w:lang w:val="en-US"/>
        </w:rPr>
        <w:t>“</w:t>
      </w:r>
      <w:r w:rsidRPr="001224B7">
        <w:rPr>
          <w:bCs/>
          <w:color w:val="000000"/>
          <w:szCs w:val="24"/>
        </w:rPr>
        <w:t>Politica Monetară Postcriză: Reconfigurarea Obiectivelorşi a Instrumentelor</w:t>
      </w:r>
      <w:r>
        <w:rPr>
          <w:color w:val="000000"/>
          <w:szCs w:val="24"/>
          <w:lang w:val="en-US"/>
        </w:rPr>
        <w:t>”</w:t>
      </w:r>
      <w:r w:rsidRPr="001224B7">
        <w:rPr>
          <w:bCs/>
          <w:color w:val="000000"/>
          <w:szCs w:val="24"/>
        </w:rPr>
        <w:t>, disertaţie cu ocazia decernării titlului de Doctor Honoris Causa al Universităţii Andrei Şaguna (mai).</w:t>
      </w:r>
    </w:p>
    <w:p w:rsidR="004D0E74" w:rsidRPr="00AB6B4D" w:rsidRDefault="006A735A" w:rsidP="00F65C0E">
      <w:pPr>
        <w:spacing w:line="360" w:lineRule="auto"/>
        <w:rPr>
          <w:szCs w:val="24"/>
        </w:rPr>
      </w:pPr>
      <w:r>
        <w:rPr>
          <w:szCs w:val="24"/>
        </w:rPr>
        <w:t xml:space="preserve">Kaminski, Matthew (2012), „Leszek Balcerowitz: The Anti-Bernanche”, </w:t>
      </w:r>
      <w:r>
        <w:rPr>
          <w:szCs w:val="24"/>
          <w:lang w:val="en-US"/>
        </w:rPr>
        <w:t>The Wall Street</w:t>
      </w:r>
      <w:r>
        <w:rPr>
          <w:szCs w:val="24"/>
        </w:rPr>
        <w:t xml:space="preserve"> Journal, December 14.</w:t>
      </w:r>
    </w:p>
    <w:p w:rsidR="006E1599" w:rsidRPr="00AB6B4D" w:rsidRDefault="0060604F" w:rsidP="00F65C0E">
      <w:pPr>
        <w:autoSpaceDE w:val="0"/>
        <w:autoSpaceDN w:val="0"/>
        <w:adjustRightInd w:val="0"/>
        <w:spacing w:line="360" w:lineRule="auto"/>
        <w:rPr>
          <w:szCs w:val="24"/>
        </w:rPr>
      </w:pPr>
      <w:r w:rsidRPr="00AB6B4D">
        <w:rPr>
          <w:szCs w:val="24"/>
        </w:rPr>
        <w:t xml:space="preserve">Kohn, Donald L., 2009. </w:t>
      </w:r>
      <w:r w:rsidRPr="00AB6B4D">
        <w:rPr>
          <w:i/>
          <w:iCs/>
          <w:szCs w:val="24"/>
        </w:rPr>
        <w:t>Interactions between Monetary and Fiscal Policy in the Current Situation</w:t>
      </w:r>
      <w:r w:rsidRPr="00AB6B4D">
        <w:rPr>
          <w:szCs w:val="24"/>
        </w:rPr>
        <w:t>, Speech at the Conference on Monetary-Fiscal Policy Interactions, Expectations, and Dynamics in the Current Economic Crisis, Princeton University, Princeton, New Jersey, May 23.</w:t>
      </w:r>
    </w:p>
    <w:p w:rsidR="00D339D5" w:rsidRPr="00AB6B4D" w:rsidRDefault="004C7C2A" w:rsidP="00F65C0E">
      <w:pPr>
        <w:autoSpaceDE w:val="0"/>
        <w:autoSpaceDN w:val="0"/>
        <w:adjustRightInd w:val="0"/>
        <w:spacing w:line="360" w:lineRule="auto"/>
        <w:rPr>
          <w:szCs w:val="24"/>
        </w:rPr>
      </w:pPr>
      <w:r w:rsidRPr="00AB6B4D">
        <w:rPr>
          <w:szCs w:val="24"/>
        </w:rPr>
        <w:t xml:space="preserve">Krugman, Paul (1998). „It’s Baaack! Japan’s Slump and the Return of the Liquidity Trap”, </w:t>
      </w:r>
      <w:r w:rsidRPr="00AB6B4D">
        <w:rPr>
          <w:i/>
          <w:iCs/>
          <w:szCs w:val="24"/>
        </w:rPr>
        <w:t xml:space="preserve">Brookings Papers on Economic Activity </w:t>
      </w:r>
      <w:r w:rsidRPr="00AB6B4D">
        <w:rPr>
          <w:szCs w:val="24"/>
        </w:rPr>
        <w:t>1998 (2), 137-87.</w:t>
      </w:r>
    </w:p>
    <w:p w:rsidR="0044607D" w:rsidRPr="00AB6B4D" w:rsidRDefault="00D339D5" w:rsidP="00F65C0E">
      <w:pPr>
        <w:autoSpaceDE w:val="0"/>
        <w:autoSpaceDN w:val="0"/>
        <w:adjustRightInd w:val="0"/>
        <w:spacing w:line="360" w:lineRule="auto"/>
        <w:rPr>
          <w:szCs w:val="24"/>
        </w:rPr>
      </w:pPr>
      <w:r w:rsidRPr="00AB6B4D">
        <w:rPr>
          <w:szCs w:val="24"/>
        </w:rPr>
        <w:t>Kydland, Finn, and Edward Prescott (1977), „</w:t>
      </w:r>
      <w:r w:rsidRPr="00AB6B4D">
        <w:rPr>
          <w:iCs/>
          <w:szCs w:val="24"/>
        </w:rPr>
        <w:t>Rules rather than Discretion: The Inconsistency of Optimal Plans</w:t>
      </w:r>
      <w:r w:rsidRPr="00AB6B4D">
        <w:rPr>
          <w:szCs w:val="24"/>
        </w:rPr>
        <w:t xml:space="preserve">”, </w:t>
      </w:r>
      <w:r w:rsidRPr="00AB6B4D">
        <w:rPr>
          <w:i/>
          <w:szCs w:val="24"/>
        </w:rPr>
        <w:t>Journal of Political Economy</w:t>
      </w:r>
      <w:r w:rsidRPr="00AB6B4D">
        <w:rPr>
          <w:szCs w:val="24"/>
        </w:rPr>
        <w:t xml:space="preserve"> (85).</w:t>
      </w:r>
    </w:p>
    <w:p w:rsidR="00D339D5" w:rsidRPr="00AB6B4D" w:rsidRDefault="00D339D5" w:rsidP="00F65C0E">
      <w:pPr>
        <w:autoSpaceDE w:val="0"/>
        <w:autoSpaceDN w:val="0"/>
        <w:adjustRightInd w:val="0"/>
        <w:spacing w:line="360" w:lineRule="auto"/>
        <w:rPr>
          <w:szCs w:val="24"/>
        </w:rPr>
      </w:pPr>
      <w:r w:rsidRPr="00AB6B4D">
        <w:t>Lucas, Robert</w:t>
      </w:r>
      <w:r w:rsidR="00164D62" w:rsidRPr="00AB6B4D">
        <w:t xml:space="preserve"> Jr.</w:t>
      </w:r>
      <w:r w:rsidRPr="00AB6B4D">
        <w:t xml:space="preserve"> (1972), „Expectations and the Neutrality of Money”, </w:t>
      </w:r>
      <w:r w:rsidR="00164D62" w:rsidRPr="00AB6B4D">
        <w:rPr>
          <w:i/>
        </w:rPr>
        <w:t>Journal of Economic Theory</w:t>
      </w:r>
      <w:r w:rsidR="00164D62" w:rsidRPr="00AB6B4D">
        <w:t xml:space="preserve"> 4, </w:t>
      </w:r>
      <w:r w:rsidRPr="00AB6B4D">
        <w:t>(p. 105)</w:t>
      </w:r>
      <w:r w:rsidR="00164D62" w:rsidRPr="00AB6B4D">
        <w:t>.</w:t>
      </w:r>
    </w:p>
    <w:p w:rsidR="009516C8" w:rsidRDefault="009516C8" w:rsidP="00F65C0E">
      <w:pPr>
        <w:autoSpaceDE w:val="0"/>
        <w:autoSpaceDN w:val="0"/>
        <w:adjustRightInd w:val="0"/>
        <w:spacing w:line="360" w:lineRule="auto"/>
        <w:rPr>
          <w:szCs w:val="24"/>
        </w:rPr>
      </w:pPr>
      <w:r w:rsidRPr="00AB6B4D">
        <w:rPr>
          <w:szCs w:val="24"/>
        </w:rPr>
        <w:t>Mertens</w:t>
      </w:r>
      <w:r w:rsidR="009C2250" w:rsidRPr="00AB6B4D">
        <w:rPr>
          <w:szCs w:val="24"/>
        </w:rPr>
        <w:t>, Karel</w:t>
      </w:r>
      <w:r w:rsidRPr="00AB6B4D">
        <w:rPr>
          <w:szCs w:val="24"/>
        </w:rPr>
        <w:t xml:space="preserve"> and Ravn</w:t>
      </w:r>
      <w:r w:rsidR="009C2250" w:rsidRPr="00AB6B4D">
        <w:rPr>
          <w:szCs w:val="24"/>
        </w:rPr>
        <w:t>, Morten</w:t>
      </w:r>
      <w:r w:rsidRPr="00AB6B4D">
        <w:rPr>
          <w:szCs w:val="24"/>
        </w:rPr>
        <w:t xml:space="preserve"> (2012), </w:t>
      </w:r>
      <w:r w:rsidR="009C2250" w:rsidRPr="00AB6B4D">
        <w:rPr>
          <w:szCs w:val="24"/>
        </w:rPr>
        <w:t xml:space="preserve">„Fiscal Policy in an Expectations Driven Liquidity Trap” </w:t>
      </w:r>
      <w:r w:rsidR="009C2250" w:rsidRPr="00AB6B4D">
        <w:rPr>
          <w:bCs/>
          <w:szCs w:val="24"/>
        </w:rPr>
        <w:t>European Summer Symposium in International Macroeconomics (ESSIM) 2010</w:t>
      </w:r>
      <w:r w:rsidR="009C2250" w:rsidRPr="00AB6B4D">
        <w:rPr>
          <w:szCs w:val="24"/>
        </w:rPr>
        <w:t>, Banco de España Tarragona, Spain; 25-28 May 2010</w:t>
      </w:r>
      <w:r w:rsidR="008708DE">
        <w:rPr>
          <w:szCs w:val="24"/>
        </w:rPr>
        <w:t>.</w:t>
      </w:r>
    </w:p>
    <w:p w:rsidR="008708DE" w:rsidRPr="00AB6B4D" w:rsidRDefault="008708DE" w:rsidP="00F65C0E">
      <w:pPr>
        <w:autoSpaceDE w:val="0"/>
        <w:autoSpaceDN w:val="0"/>
        <w:adjustRightInd w:val="0"/>
        <w:spacing w:line="360" w:lineRule="auto"/>
        <w:rPr>
          <w:bCs/>
          <w:szCs w:val="24"/>
        </w:rPr>
      </w:pPr>
      <w:r>
        <w:rPr>
          <w:szCs w:val="24"/>
        </w:rPr>
        <w:t xml:space="preserve">Nugee, John (2012), citat în </w:t>
      </w:r>
      <w:r w:rsidRPr="00B67E6E">
        <w:rPr>
          <w:szCs w:val="24"/>
        </w:rPr>
        <w:t>“Challenges for central banks: wider powers, greater restraints. The financial crisis and its aftermath”, EYGM Limited and OMFIF Limited (statement to OMFIF, emailed response to survey</w:t>
      </w:r>
      <w:r>
        <w:rPr>
          <w:szCs w:val="24"/>
        </w:rPr>
        <w:t>, confirmed 4 July 2012</w:t>
      </w:r>
      <w:r w:rsidRPr="00B67E6E">
        <w:rPr>
          <w:szCs w:val="24"/>
        </w:rPr>
        <w:t>).</w:t>
      </w:r>
    </w:p>
    <w:p w:rsidR="007109AF" w:rsidRPr="00AB6B4D" w:rsidRDefault="00877E12" w:rsidP="00F65C0E">
      <w:pPr>
        <w:autoSpaceDE w:val="0"/>
        <w:autoSpaceDN w:val="0"/>
        <w:adjustRightInd w:val="0"/>
        <w:spacing w:line="360" w:lineRule="auto"/>
        <w:rPr>
          <w:rFonts w:ascii="TimesNewRomanPSMT" w:hAnsi="TimesNewRomanPSMT" w:cs="TimesNewRomanPSMT"/>
          <w:szCs w:val="24"/>
        </w:rPr>
      </w:pPr>
      <w:r w:rsidRPr="00AB6B4D">
        <w:rPr>
          <w:rFonts w:ascii="TimesNewRomanPSMT" w:hAnsi="TimesNewRomanPSMT" w:cs="TimesNewRomanPSMT"/>
          <w:szCs w:val="24"/>
        </w:rPr>
        <w:t>Park, G. Seok (2012), “Central Banks Quasi-Fiscal Policies and Inflation”, IMF  Working Paper No. 14, January.</w:t>
      </w:r>
    </w:p>
    <w:p w:rsidR="00877E12" w:rsidRPr="00AB6B4D" w:rsidRDefault="007109AF" w:rsidP="00F65C0E">
      <w:pPr>
        <w:autoSpaceDE w:val="0"/>
        <w:autoSpaceDN w:val="0"/>
        <w:adjustRightInd w:val="0"/>
        <w:spacing w:line="360" w:lineRule="auto"/>
        <w:rPr>
          <w:bCs/>
          <w:szCs w:val="24"/>
        </w:rPr>
      </w:pPr>
      <w:r w:rsidRPr="00AB6B4D">
        <w:rPr>
          <w:szCs w:val="24"/>
        </w:rPr>
        <w:t>Rogoff, Kenneth (1985), “</w:t>
      </w:r>
      <w:r w:rsidRPr="00AB6B4D">
        <w:rPr>
          <w:bCs/>
          <w:szCs w:val="24"/>
        </w:rPr>
        <w:t xml:space="preserve">The Optimal Degree of Commitment to an Intermediate Monetary Target, </w:t>
      </w:r>
      <w:r w:rsidRPr="00AB6B4D">
        <w:rPr>
          <w:i/>
          <w:iCs/>
          <w:szCs w:val="24"/>
        </w:rPr>
        <w:t>The Quarterly Journal of Economics</w:t>
      </w:r>
      <w:r w:rsidRPr="00AB6B4D">
        <w:rPr>
          <w:szCs w:val="24"/>
        </w:rPr>
        <w:t>, Vol. 100, No. 4. (Nov., 1985), pp. 1169-1189.</w:t>
      </w:r>
    </w:p>
    <w:p w:rsidR="00712308" w:rsidRDefault="00972710" w:rsidP="00F65C0E">
      <w:pPr>
        <w:spacing w:line="360" w:lineRule="auto"/>
        <w:rPr>
          <w:szCs w:val="24"/>
        </w:rPr>
      </w:pPr>
      <w:r w:rsidRPr="00AB6B4D">
        <w:rPr>
          <w:szCs w:val="24"/>
        </w:rPr>
        <w:t>Shirakawa, Masaaki (</w:t>
      </w:r>
      <w:r w:rsidR="00182C1E" w:rsidRPr="00AB6B4D">
        <w:rPr>
          <w:szCs w:val="24"/>
        </w:rPr>
        <w:t>2009</w:t>
      </w:r>
      <w:r w:rsidRPr="00AB6B4D">
        <w:rPr>
          <w:szCs w:val="24"/>
        </w:rPr>
        <w:t>)</w:t>
      </w:r>
      <w:r w:rsidR="00182C1E" w:rsidRPr="00AB6B4D">
        <w:rPr>
          <w:i/>
          <w:iCs/>
          <w:szCs w:val="24"/>
        </w:rPr>
        <w:t>. Unconventional Monetary Policy—Central Banks: Facing the Challenges and Learning the Lessons</w:t>
      </w:r>
      <w:r w:rsidR="00182C1E" w:rsidRPr="00AB6B4D">
        <w:rPr>
          <w:szCs w:val="24"/>
        </w:rPr>
        <w:t>—Remarks at the Conference co-hosted by the People’s Bank of China and the Bank for International Settlements. Shanghai, August 8.</w:t>
      </w:r>
    </w:p>
    <w:p w:rsidR="00A37D77" w:rsidRPr="00B67E6E" w:rsidRDefault="00A37D77" w:rsidP="00F65C0E">
      <w:pPr>
        <w:spacing w:line="360" w:lineRule="auto"/>
        <w:rPr>
          <w:szCs w:val="24"/>
        </w:rPr>
      </w:pPr>
      <w:r w:rsidRPr="00B67E6E">
        <w:rPr>
          <w:szCs w:val="24"/>
        </w:rPr>
        <w:lastRenderedPageBreak/>
        <w:t xml:space="preserve">Smaghi, Lorenzo B. (2012), </w:t>
      </w:r>
      <w:r w:rsidR="008708DE">
        <w:rPr>
          <w:szCs w:val="24"/>
        </w:rPr>
        <w:t xml:space="preserve">citat în </w:t>
      </w:r>
      <w:r w:rsidRPr="00B67E6E">
        <w:rPr>
          <w:szCs w:val="24"/>
        </w:rPr>
        <w:t>“Challenges for central banks: wider powers, greater restraints. Thefinancial crisis and its aftermath”, EYGM Limited and OMFIF Limited (statement to OMFIF, emailed response to survey</w:t>
      </w:r>
      <w:r w:rsidR="00741623">
        <w:rPr>
          <w:szCs w:val="24"/>
        </w:rPr>
        <w:t>, confirmed 4 July 2012, p. 14</w:t>
      </w:r>
      <w:r w:rsidRPr="00B67E6E">
        <w:rPr>
          <w:szCs w:val="24"/>
        </w:rPr>
        <w:t xml:space="preserve">). </w:t>
      </w:r>
    </w:p>
    <w:p w:rsidR="008F640F" w:rsidRPr="00AB6B4D" w:rsidRDefault="008F640F" w:rsidP="00F65C0E">
      <w:pPr>
        <w:spacing w:line="360" w:lineRule="auto"/>
        <w:rPr>
          <w:szCs w:val="24"/>
        </w:rPr>
      </w:pPr>
      <w:r w:rsidRPr="00AB6B4D">
        <w:rPr>
          <w:szCs w:val="24"/>
        </w:rPr>
        <w:t>Stella, Peter (2010), “Minimizing Monetary Policy”, prepared for the 9</w:t>
      </w:r>
      <w:r w:rsidRPr="00AB6B4D">
        <w:rPr>
          <w:szCs w:val="24"/>
          <w:vertAlign w:val="superscript"/>
        </w:rPr>
        <w:t>th</w:t>
      </w:r>
      <w:r w:rsidRPr="00AB6B4D">
        <w:rPr>
          <w:szCs w:val="24"/>
        </w:rPr>
        <w:t xml:space="preserve"> BIS Annual Conference, </w:t>
      </w:r>
      <w:r w:rsidRPr="00AB6B4D">
        <w:rPr>
          <w:i/>
          <w:szCs w:val="24"/>
        </w:rPr>
        <w:t>The Future of Central Banking under Post-Crisis Mandate</w:t>
      </w:r>
      <w:r w:rsidRPr="00AB6B4D">
        <w:rPr>
          <w:szCs w:val="24"/>
        </w:rPr>
        <w:t>, Lucerne, Switzerland, June 24-25.</w:t>
      </w:r>
    </w:p>
    <w:p w:rsidR="007109AF" w:rsidRPr="00AB6B4D" w:rsidRDefault="007109AF" w:rsidP="00F65C0E">
      <w:pPr>
        <w:spacing w:line="360" w:lineRule="auto"/>
        <w:rPr>
          <w:szCs w:val="24"/>
        </w:rPr>
      </w:pPr>
      <w:r w:rsidRPr="00AB6B4D">
        <w:rPr>
          <w:szCs w:val="24"/>
        </w:rPr>
        <w:t xml:space="preserve">Walsh, Carl (1995), </w:t>
      </w:r>
      <w:r w:rsidRPr="00AB6B4D">
        <w:rPr>
          <w:i/>
          <w:iCs/>
          <w:szCs w:val="24"/>
        </w:rPr>
        <w:t>Optimal Contracts for Central Bankers</w:t>
      </w:r>
      <w:r w:rsidRPr="00AB6B4D">
        <w:rPr>
          <w:szCs w:val="24"/>
        </w:rPr>
        <w:t>, American Economic Review (85), March.</w:t>
      </w:r>
    </w:p>
    <w:p w:rsidR="00972710" w:rsidRPr="00AB6B4D" w:rsidRDefault="00972710" w:rsidP="001E142E">
      <w:pPr>
        <w:spacing w:line="360" w:lineRule="auto"/>
        <w:rPr>
          <w:szCs w:val="24"/>
        </w:rPr>
      </w:pPr>
    </w:p>
    <w:sectPr w:rsidR="00972710" w:rsidRPr="00AB6B4D" w:rsidSect="008E18AA">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0E4" w:rsidRDefault="002D20E4" w:rsidP="00857D77">
      <w:pPr>
        <w:spacing w:after="0" w:line="240" w:lineRule="auto"/>
      </w:pPr>
      <w:r>
        <w:separator/>
      </w:r>
    </w:p>
  </w:endnote>
  <w:endnote w:type="continuationSeparator" w:id="0">
    <w:p w:rsidR="002D20E4" w:rsidRDefault="002D20E4" w:rsidP="00857D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1614825"/>
      <w:docPartObj>
        <w:docPartGallery w:val="Page Numbers (Bottom of Page)"/>
        <w:docPartUnique/>
      </w:docPartObj>
    </w:sdtPr>
    <w:sdtEndPr>
      <w:rPr>
        <w:noProof/>
      </w:rPr>
    </w:sdtEndPr>
    <w:sdtContent>
      <w:p w:rsidR="00857D77" w:rsidRDefault="008E18AA">
        <w:pPr>
          <w:pStyle w:val="Footer"/>
        </w:pPr>
        <w:r>
          <w:fldChar w:fldCharType="begin"/>
        </w:r>
        <w:r w:rsidR="00857D77">
          <w:instrText xml:space="preserve"> PAGE   \* MERGEFORMAT </w:instrText>
        </w:r>
        <w:r>
          <w:fldChar w:fldCharType="separate"/>
        </w:r>
        <w:r w:rsidR="00451EEF">
          <w:rPr>
            <w:noProof/>
          </w:rPr>
          <w:t>9</w:t>
        </w:r>
        <w:r>
          <w:rPr>
            <w:noProof/>
          </w:rPr>
          <w:fldChar w:fldCharType="end"/>
        </w:r>
      </w:p>
    </w:sdtContent>
  </w:sdt>
  <w:p w:rsidR="00857D77" w:rsidRDefault="00857D7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0E4" w:rsidRDefault="002D20E4" w:rsidP="00857D77">
      <w:pPr>
        <w:spacing w:after="0" w:line="240" w:lineRule="auto"/>
      </w:pPr>
      <w:r>
        <w:separator/>
      </w:r>
    </w:p>
  </w:footnote>
  <w:footnote w:type="continuationSeparator" w:id="0">
    <w:p w:rsidR="002D20E4" w:rsidRDefault="002D20E4" w:rsidP="00857D77">
      <w:pPr>
        <w:spacing w:after="0" w:line="240" w:lineRule="auto"/>
      </w:pPr>
      <w:r>
        <w:continuationSeparator/>
      </w:r>
    </w:p>
  </w:footnote>
  <w:footnote w:id="1">
    <w:p w:rsidR="00043E21" w:rsidRDefault="00043E21">
      <w:pPr>
        <w:pStyle w:val="FootnoteText"/>
      </w:pPr>
      <w:r>
        <w:rPr>
          <w:rStyle w:val="FootnoteReference"/>
        </w:rPr>
        <w:footnoteRef/>
      </w:r>
      <w:r>
        <w:t xml:space="preserve"> Pe lângă noile instrumente de politică monetară, cum sunt relaxările cantitative, băncile centrale au </w:t>
      </w:r>
      <w:r w:rsidR="006F34B0">
        <w:t>utilizat și</w:t>
      </w:r>
      <w:r>
        <w:t xml:space="preserve"> lărgirea</w:t>
      </w:r>
      <w:r w:rsidR="006F34B0">
        <w:t xml:space="preserve"> limitelor</w:t>
      </w:r>
      <w:r>
        <w:t xml:space="preserve"> de acordare a lichidităț</w:t>
      </w:r>
      <w:r w:rsidR="006F34B0">
        <w:t>ii pentru sistemul bancar și modificarea criteriilor privind</w:t>
      </w:r>
      <w:r>
        <w:t xml:space="preserve"> garanțiile acceptate în relația cu băncile comerciale. </w:t>
      </w:r>
    </w:p>
  </w:footnote>
  <w:footnote w:id="2">
    <w:p w:rsidR="00623285" w:rsidRDefault="00623285">
      <w:pPr>
        <w:pStyle w:val="FootnoteText"/>
      </w:pPr>
      <w:r>
        <w:rPr>
          <w:rStyle w:val="FootnoteReference"/>
        </w:rPr>
        <w:footnoteRef/>
      </w:r>
      <w:r w:rsidRPr="0074554B">
        <w:t>În mod normal, când capitalurile sunt mobile și rata de schimb flexibilă, o expansiune fiscală susținută nu poate duce la creșterea cererii. Aceasta se întâmplă deoarece ba</w:t>
      </w:r>
      <w:r w:rsidR="00B808DC">
        <w:t>n</w:t>
      </w:r>
      <w:r w:rsidRPr="0074554B">
        <w:t xml:space="preserve">ca centrală compensează efectele politicii fiscale prin mărirea ratei dobânzii necesare pentru a </w:t>
      </w:r>
      <w:r w:rsidR="00B107BF">
        <w:t>menține producția</w:t>
      </w:r>
      <w:r w:rsidRPr="0074554B">
        <w:t xml:space="preserve"> la nivelul potențial. Anticiparea de către participanții la piața financiară a acestei reacții duce la o creștere a ratelor dobânzii anticipate pe termen scurt și, de aici, a celor pe termen lung. Creșterea ratelor dobânzii pe termen lung reduce </w:t>
      </w:r>
      <w:r w:rsidR="00B06014">
        <w:t xml:space="preserve">însă </w:t>
      </w:r>
      <w:r w:rsidRPr="0074554B">
        <w:t>valoarea activelor și</w:t>
      </w:r>
      <w:r w:rsidR="00B06014">
        <w:t xml:space="preserve"> întărește</w:t>
      </w:r>
      <w:r w:rsidRPr="0074554B">
        <w:t xml:space="preserve"> moneda. </w:t>
      </w:r>
      <w:r w:rsidR="00B06014">
        <w:t xml:space="preserve">Cu o valoare redusă a activelor, gospodăriile vor finanța mai puține cheltuieli, iar firmele vor reduce investițiile. Aprecierea monedei va duce la scăderea exporturilor. Aceste decizii ale sectorului privat vor compensa, în final, </w:t>
      </w:r>
      <w:r w:rsidRPr="0074554B">
        <w:t>creșterea inițială a producției și a ocupării determinată de expansiunea fiscală</w:t>
      </w:r>
      <w:r w:rsidR="00B06014">
        <w:t>.</w:t>
      </w:r>
      <w:r w:rsidRPr="0074554B">
        <w:t xml:space="preserve"> În schimb, </w:t>
      </w:r>
      <w:r w:rsidR="00AA435B">
        <w:t xml:space="preserve">când </w:t>
      </w:r>
      <w:r w:rsidR="00B06014">
        <w:t xml:space="preserve">datorită unuișoc pe partea cererii </w:t>
      </w:r>
      <w:r w:rsidR="00AA435B">
        <w:t xml:space="preserve">economa </w:t>
      </w:r>
      <w:r w:rsidR="00B06014">
        <w:t>ajunge</w:t>
      </w:r>
      <w:r w:rsidR="00AA435B">
        <w:t xml:space="preserve"> în capcana lichidității (</w:t>
      </w:r>
      <w:r w:rsidRPr="0074554B">
        <w:t>rata dobânzii de politică monetară este egală cu zero</w:t>
      </w:r>
      <w:r w:rsidR="00AA435B">
        <w:t>)</w:t>
      </w:r>
      <w:r w:rsidRPr="0074554B">
        <w:t xml:space="preserve">, politica fiscală poate fi eficientă. </w:t>
      </w:r>
      <w:r w:rsidR="00E32B82">
        <w:t>Cu rata</w:t>
      </w:r>
      <w:r w:rsidR="00B107BF">
        <w:t xml:space="preserve"> nominală a</w:t>
      </w:r>
      <w:r w:rsidR="00E32B82">
        <w:t xml:space="preserve"> dobânzii neputând coborî sub zero, gap-ul producției va fi deflaționist, iar inflația va fi mai mică decât cea dorită. Experiența Marii Depresii și cea a Japoniei din ultimele două decenii</w:t>
      </w:r>
      <w:r w:rsidR="00E973F9">
        <w:t xml:space="preserve"> sprijină formarea anticipațiilor că această situație se poate prelungi </w:t>
      </w:r>
      <w:r w:rsidRPr="0074554B">
        <w:t>pentru mult timp</w:t>
      </w:r>
      <w:r w:rsidR="00E973F9">
        <w:t>.</w:t>
      </w:r>
      <w:r w:rsidR="00A82D96">
        <w:t>Agenții economici</w:t>
      </w:r>
      <w:r w:rsidRPr="0074554B">
        <w:t xml:space="preserve"> vor deduce</w:t>
      </w:r>
      <w:r>
        <w:t>,</w:t>
      </w:r>
      <w:r w:rsidRPr="0074554B">
        <w:t xml:space="preserve"> în mod corect, că </w:t>
      </w:r>
      <w:r>
        <w:t xml:space="preserve">banca centralănu va mai răspunde la stimulii fiscali și </w:t>
      </w:r>
      <w:r w:rsidRPr="0074554B">
        <w:t xml:space="preserve">va lăsa rata dobânzii de politică monetară aproape de zero pentru o perioadă relativ îndelungată. </w:t>
      </w:r>
      <w:r>
        <w:t>Astfel, este posibil ca stimulii fiscali să nu conducă la creșteri importante ale ratelor dobânzii pe termen lung, ceea ce va atenua efectele lor asupra scăderii prețurilor activelor și asupra aprecierii monedei comparativ cu timpurile normale. Deficitul bugetar crescut ar trebui să se reflecte în creșterea datoriei publice, care ar putea duce la creșterea anticipațiilor inflaționiste</w:t>
      </w:r>
      <w:r w:rsidR="00A82D96">
        <w:t xml:space="preserve"> (Calvo, 1991)</w:t>
      </w:r>
      <w:r>
        <w:t>, reducând rata reală a dobânzii, ceea ce ar stimula creșterea economică (pentru estimări ale multiplicatorilor fiscali în SUA vezi Kohn, 2009, DeLong și Summers, 2012).</w:t>
      </w:r>
    </w:p>
  </w:footnote>
  <w:footnote w:id="3">
    <w:p w:rsidR="00AB6E36" w:rsidRDefault="00AB6E36" w:rsidP="0062379F">
      <w:pPr>
        <w:autoSpaceDE w:val="0"/>
        <w:autoSpaceDN w:val="0"/>
        <w:adjustRightInd w:val="0"/>
        <w:spacing w:after="0" w:line="240" w:lineRule="auto"/>
      </w:pPr>
      <w:r>
        <w:rPr>
          <w:rStyle w:val="FootnoteReference"/>
        </w:rPr>
        <w:footnoteRef/>
      </w:r>
      <w:r w:rsidR="00320F5A" w:rsidRPr="00320F5A">
        <w:rPr>
          <w:sz w:val="20"/>
          <w:szCs w:val="20"/>
        </w:rPr>
        <w:t>Mertens and Ravn (2012) a</w:t>
      </w:r>
      <w:r w:rsidR="002D6796">
        <w:rPr>
          <w:sz w:val="20"/>
          <w:szCs w:val="20"/>
        </w:rPr>
        <w:t>u</w:t>
      </w:r>
      <w:r w:rsidR="00320F5A" w:rsidRPr="00320F5A">
        <w:rPr>
          <w:sz w:val="20"/>
          <w:szCs w:val="20"/>
        </w:rPr>
        <w:t xml:space="preserve"> arătat că politicile de stimulare a ofertei sunt mai indicate decât cele de stimulare a cererii. În contrast cu o serie de lucrări recente, ei au descris echilibre în care politicile de stimulare a cererii devin mai puțin efective în capcana lichidității decât în condiții normale. În schimb, politicile de stimulare a ofertei devin mult mai puternice, în special cele de reducere a ratelor de impozitare a muncii.</w:t>
      </w:r>
    </w:p>
  </w:footnote>
  <w:footnote w:id="4">
    <w:p w:rsidR="0062379F" w:rsidRDefault="0062379F" w:rsidP="0062379F">
      <w:pPr>
        <w:autoSpaceDE w:val="0"/>
        <w:autoSpaceDN w:val="0"/>
        <w:adjustRightInd w:val="0"/>
        <w:spacing w:after="0" w:line="240" w:lineRule="auto"/>
      </w:pPr>
      <w:r>
        <w:rPr>
          <w:rStyle w:val="FootnoteReference"/>
        </w:rPr>
        <w:footnoteRef/>
      </w:r>
      <w:r w:rsidRPr="0062379F">
        <w:rPr>
          <w:sz w:val="20"/>
          <w:szCs w:val="20"/>
        </w:rPr>
        <w:t xml:space="preserve">DeLong și Summers </w:t>
      </w:r>
      <w:r w:rsidR="00C55407">
        <w:rPr>
          <w:sz w:val="20"/>
          <w:szCs w:val="20"/>
        </w:rPr>
        <w:t xml:space="preserve">(2012) </w:t>
      </w:r>
      <w:r w:rsidRPr="0062379F">
        <w:rPr>
          <w:sz w:val="20"/>
          <w:szCs w:val="20"/>
        </w:rPr>
        <w:t>au sugerat nevoia pentru o prudență considerabilă referitor la pasul de consolidare fiscală în economiile depresate, unde ratele dobânzilor sunt aproape de zero sau chiar zero.</w:t>
      </w:r>
    </w:p>
  </w:footnote>
  <w:footnote w:id="5">
    <w:p w:rsidR="00A902BB" w:rsidRDefault="00A902BB">
      <w:pPr>
        <w:pStyle w:val="FootnoteText"/>
      </w:pPr>
      <w:r>
        <w:rPr>
          <w:rStyle w:val="FootnoteReference"/>
        </w:rPr>
        <w:footnoteRef/>
      </w:r>
      <w:r>
        <w:t xml:space="preserve"> Există și efecte secundare </w:t>
      </w:r>
      <w:r w:rsidR="00C33A80">
        <w:t xml:space="preserve">importante </w:t>
      </w:r>
      <w:r>
        <w:t xml:space="preserve">ale relaxărilor cantitative. </w:t>
      </w:r>
      <w:r w:rsidR="00BB2202">
        <w:t>Menținerea artificială a unor spread-uri înguste se reflectă în</w:t>
      </w:r>
      <w:r>
        <w:t xml:space="preserve"> scăderea veniturilor </w:t>
      </w:r>
      <w:r w:rsidR="00BB2202">
        <w:t>celor care se bazează pe cupon (fonduri</w:t>
      </w:r>
      <w:r>
        <w:t xml:space="preserve"> de pensii</w:t>
      </w:r>
      <w:r w:rsidR="00BB2202">
        <w:t>, industria bancară și alți deținători)</w:t>
      </w:r>
      <w:r>
        <w:t xml:space="preserve"> și </w:t>
      </w:r>
      <w:r w:rsidR="00BB2202">
        <w:t xml:space="preserve">în </w:t>
      </w:r>
      <w:r>
        <w:t xml:space="preserve">amânarea de către guverne </w:t>
      </w:r>
      <w:r w:rsidR="000C6395">
        <w:t>a deciziilor politice dificile necesare pentru reducerea deficitelor bugetare relativ mari.</w:t>
      </w:r>
      <w:r w:rsidR="00C33A80">
        <w:t xml:space="preserve"> Dar acestea sunt costuri care nu pot fi evitate dacă se dorește </w:t>
      </w:r>
      <w:r w:rsidR="00A20396">
        <w:t>scurtarea peri</w:t>
      </w:r>
      <w:r w:rsidR="00DE2E7A">
        <w:t>oadei de creștere sub potențial a economiei. Parte din pierderile fondurilor de pensii pot fi evitate prin reducerea poverii reglementării care guvernează</w:t>
      </w:r>
      <w:r w:rsidR="00B808DC">
        <w:t xml:space="preserve"> aceste fonduri</w:t>
      </w:r>
      <w:r w:rsidR="00DE2E7A">
        <w:t xml:space="preserve">. </w:t>
      </w:r>
    </w:p>
  </w:footnote>
  <w:footnote w:id="6">
    <w:p w:rsidR="00C84301" w:rsidRDefault="00C84301">
      <w:pPr>
        <w:pStyle w:val="FootnoteText"/>
      </w:pPr>
      <w:r>
        <w:rPr>
          <w:rStyle w:val="FootnoteReference"/>
        </w:rPr>
        <w:footnoteRef/>
      </w:r>
      <w:r>
        <w:t xml:space="preserve"> În timp ce toate băncile centrale care fac relaxări cantitative au ca scop general stimularea consumului gospodăriilor și investiiile firmelor, canalele de transmisie vizate sunt specifice. Relaxările cantitative ale Bancii Central Europene au ca principal scop reducerea costul</w:t>
      </w:r>
      <w:r w:rsidR="006F037D">
        <w:t>ui</w:t>
      </w:r>
      <w:r>
        <w:t xml:space="preserve"> la care se împrumută unele state europene din zona euro, dar BCE a cumpărat și bonduri acoperite cu active. Banca Japoniei luptă împotriva deflației cumpărând atât bonduri guvernamentale cât și datorii și acțiuni ale corporațiilor. Banca Angliei utilizează băncile pentru a da bani gospodăriilor și sectorului de afaceri, </w:t>
      </w:r>
      <w:r w:rsidR="00841D53">
        <w:t xml:space="preserve">nu atât prin cumpărări de datorie de la sectorul privat, ci </w:t>
      </w:r>
      <w:r w:rsidR="003B6C9A">
        <w:t>cumpărând</w:t>
      </w:r>
      <w:r>
        <w:t xml:space="preserve"> cantități importante de bonduri guvernamentale.</w:t>
      </w:r>
    </w:p>
  </w:footnote>
  <w:footnote w:id="7">
    <w:p w:rsidR="00DF1297" w:rsidRDefault="00DF1297">
      <w:pPr>
        <w:pStyle w:val="FootnoteText"/>
      </w:pPr>
      <w:r>
        <w:rPr>
          <w:rStyle w:val="FootnoteReference"/>
        </w:rPr>
        <w:footnoteRef/>
      </w:r>
      <w:r>
        <w:t xml:space="preserve"> Sunt două </w:t>
      </w:r>
      <w:r w:rsidR="001B364B">
        <w:t>perspective</w:t>
      </w:r>
      <w:r w:rsidR="003648E7">
        <w:t xml:space="preserve">tehnice </w:t>
      </w:r>
      <w:r>
        <w:t xml:space="preserve">din care se poate privi problema magnitudinii relaxărilor cantitative. Una este </w:t>
      </w:r>
      <w:r w:rsidRPr="003648E7">
        <w:rPr>
          <w:i/>
        </w:rPr>
        <w:t>corect vs. incorect</w:t>
      </w:r>
      <w:r>
        <w:t xml:space="preserve">. Din această perspectivă, dacă băncile centrale au dreptate în promovarea acestor politici, așa </w:t>
      </w:r>
      <w:r w:rsidR="004D48BB">
        <w:t>cum cred și eu, atunci ele evită</w:t>
      </w:r>
      <w:r>
        <w:t xml:space="preserve"> repetarea greșelilor făcute în anii 30 și ajuta economia mondială să evite o depresie prelungită. Dacă politicile de relaxări c</w:t>
      </w:r>
      <w:r w:rsidR="001B364B">
        <w:t xml:space="preserve">antitative sunt greșite, atunciprobabil că ele alimentează inflația, pun bazele unei noi crize financiare și oferă motive pentru îngrădirea în viitor a independenței băncii centrale. </w:t>
      </w:r>
      <w:r w:rsidR="000A2B48">
        <w:t xml:space="preserve">Sunt mulți economiști care critică apelarea la relaxările cantitative. Printre aceștia sunt Stiglitz și </w:t>
      </w:r>
      <w:r w:rsidR="006A735A">
        <w:t>Balcerowicz (Kaminski, 2012)</w:t>
      </w:r>
      <w:r w:rsidR="000A2B48">
        <w:t>.</w:t>
      </w:r>
      <w:r w:rsidR="001B364B">
        <w:t xml:space="preserve">A doua perspectivă este </w:t>
      </w:r>
      <w:r w:rsidR="001B364B" w:rsidRPr="003648E7">
        <w:rPr>
          <w:i/>
        </w:rPr>
        <w:t>suf</w:t>
      </w:r>
      <w:r w:rsidR="003648E7">
        <w:rPr>
          <w:i/>
        </w:rPr>
        <w:t>i</w:t>
      </w:r>
      <w:r w:rsidR="001B364B" w:rsidRPr="003648E7">
        <w:rPr>
          <w:i/>
        </w:rPr>
        <w:t>cient vs. eficient</w:t>
      </w:r>
      <w:r w:rsidR="00A90757">
        <w:t xml:space="preserve">, ea aplicându-se doar în cazul în care politicile sunt </w:t>
      </w:r>
      <w:r w:rsidR="000A2B48">
        <w:t xml:space="preserve">considerate </w:t>
      </w:r>
      <w:r w:rsidR="00A90757">
        <w:t xml:space="preserve">corecte. </w:t>
      </w:r>
      <w:r w:rsidR="001B364B">
        <w:t xml:space="preserve">Din această perspectivă, </w:t>
      </w:r>
      <w:r w:rsidR="00332F31">
        <w:t xml:space="preserve">pe care o adopt și eu în text, pe de o parte s-ar putea ca băncile centrale să nu fi făcut suficient pentru a </w:t>
      </w:r>
      <w:r w:rsidR="00600B4E">
        <w:t>stimula cererea</w:t>
      </w:r>
      <w:r w:rsidR="00332F31">
        <w:t>. Pe de altă parte, politici</w:t>
      </w:r>
      <w:r w:rsidR="003648E7">
        <w:t>le</w:t>
      </w:r>
      <w:r w:rsidR="00332F31">
        <w:t xml:space="preserve"> de relaxare cantitativă</w:t>
      </w:r>
      <w:r w:rsidR="003648E7">
        <w:t xml:space="preserve"> ar putea să </w:t>
      </w:r>
      <w:r w:rsidR="004D48BB">
        <w:t>își piardă din eficiență, put</w:t>
      </w:r>
      <w:r w:rsidR="000A2B48">
        <w:t xml:space="preserve">ând induce tot mai puține afaceri și cheltuieli ale consumatorilor. </w:t>
      </w:r>
      <w:r w:rsidR="003648E7">
        <w:t xml:space="preserve">Cele două perspective se intersectează. Astfel, dacă sunt și </w:t>
      </w:r>
      <w:r w:rsidR="003648E7" w:rsidRPr="003648E7">
        <w:rPr>
          <w:i/>
        </w:rPr>
        <w:t>corecte și eficiente</w:t>
      </w:r>
      <w:r w:rsidR="003648E7">
        <w:t xml:space="preserve">, rezultatele dorite nu au apărut încă pentru că nu s-a făcut încă </w:t>
      </w:r>
      <w:r w:rsidR="003648E7" w:rsidRPr="003648E7">
        <w:rPr>
          <w:i/>
        </w:rPr>
        <w:t>suficient</w:t>
      </w:r>
      <w:r w:rsidR="003648E7">
        <w:t xml:space="preserve">. De această opinie sunt, de exemplu, Janet Yellen, vicepreședintă a Fed, William Dudley, Președintele New York Fed și Alan Posen, fost membru al Comitetului de Politică Monetară al Băncii Angliei. </w:t>
      </w:r>
      <w:r w:rsidR="00A90757">
        <w:t xml:space="preserve">Alternativ, măsurile au fost corecte și eficiente, dar dacă sunt continuate pentru prea mult timp, cum spune Jaime Caruana, aceste măsuri de urgență ar putea evea efecte nedorite. </w:t>
      </w:r>
      <w:r w:rsidR="003648E7">
        <w:t xml:space="preserve">Dacă sunt </w:t>
      </w:r>
      <w:r w:rsidR="008B1272" w:rsidRPr="008B1272">
        <w:rPr>
          <w:i/>
        </w:rPr>
        <w:t>corecte dar cu o eficiență scăzătoare</w:t>
      </w:r>
      <w:r w:rsidR="008B1272">
        <w:t>,de asemenea ar putea pr</w:t>
      </w:r>
      <w:r w:rsidR="006A735A">
        <w:t>o</w:t>
      </w:r>
      <w:r w:rsidR="008B1272">
        <w:t xml:space="preserve">duce efecte negative </w:t>
      </w:r>
      <w:r w:rsidR="006A735A">
        <w:t xml:space="preserve">începând </w:t>
      </w:r>
      <w:r w:rsidR="008B1272">
        <w:t>de la un moment dat. Printre cei care cred această din urmă idee sunt Marvin King, fostul guvernator al Băncii angliei și Athanasios Orphanides, fostul guvernator al băncii centrale a Ciprului</w:t>
      </w:r>
      <w:r w:rsidR="003E11DE">
        <w:t>, dar și guvernatorul Masaaki Sjirakawa (Raportul EYGM Limited și OMFIF Limited)</w:t>
      </w:r>
      <w:r w:rsidR="008B1272">
        <w:t xml:space="preserve"> (pentru opțiunile celor citați, </w:t>
      </w:r>
      <w:r w:rsidR="003E11DE">
        <w:t xml:space="preserve">a căror sursă nu este citată imediat după numele lor </w:t>
      </w:r>
      <w:r w:rsidR="008B1272">
        <w:t>vezi Hilsenrath și Blackstone, 2012)</w:t>
      </w:r>
      <w:r w:rsidR="004D48BB">
        <w:t>. Un sondaj realizat recent de The Wall street Journal arată că, printre economiști, există o majoritate strânsă în favoarea necontinuării relaxărilor cantitative</w:t>
      </w:r>
      <w:r w:rsidR="003E11DE">
        <w:t xml:space="preserve"> în SUA</w:t>
      </w:r>
      <w:r w:rsidR="004D48BB">
        <w:t xml:space="preserve">. Dar, desigur, votul nu este criteriu pentru adevăr. </w:t>
      </w:r>
    </w:p>
  </w:footnote>
  <w:footnote w:id="8">
    <w:p w:rsidR="00374390" w:rsidRDefault="00374390" w:rsidP="00374390">
      <w:pPr>
        <w:autoSpaceDE w:val="0"/>
        <w:autoSpaceDN w:val="0"/>
        <w:adjustRightInd w:val="0"/>
        <w:spacing w:after="0" w:line="240" w:lineRule="auto"/>
      </w:pPr>
      <w:r>
        <w:rPr>
          <w:rStyle w:val="FootnoteReference"/>
        </w:rPr>
        <w:footnoteRef/>
      </w:r>
      <w:r w:rsidRPr="00374390">
        <w:rPr>
          <w:sz w:val="20"/>
          <w:szCs w:val="20"/>
        </w:rPr>
        <w:t xml:space="preserve">Cook and Devereaux </w:t>
      </w:r>
      <w:r w:rsidR="008E5261">
        <w:rPr>
          <w:sz w:val="20"/>
          <w:szCs w:val="20"/>
        </w:rPr>
        <w:t xml:space="preserve">(2011, p. 3) </w:t>
      </w:r>
      <w:r w:rsidRPr="00374390">
        <w:rPr>
          <w:sz w:val="20"/>
          <w:szCs w:val="20"/>
        </w:rPr>
        <w:t>au găsit că un răspuns cooperativ optim implică o expansiune fiscală largă în țara care a generat șocul (căderea cererii</w:t>
      </w:r>
      <w:r w:rsidR="00C04CC7">
        <w:rPr>
          <w:sz w:val="20"/>
          <w:szCs w:val="20"/>
        </w:rPr>
        <w:t xml:space="preserve"> în țara gazdă</w:t>
      </w:r>
      <w:r w:rsidRPr="00374390">
        <w:rPr>
          <w:sz w:val="20"/>
          <w:szCs w:val="20"/>
        </w:rPr>
        <w:t>), și o rată a dobânzii pozitivă pentru țara străină. Aceasta din urmă (mai puțin lovită) ar trebui să se angajeze într-o minimă expansiune fiscală expansionistă, dar ar trebui să pună rata dobânzii de politică monetară peste nivelul real al ratei sale naturale a dobânzii</w:t>
      </w:r>
      <w:r w:rsidR="008E5261">
        <w:rPr>
          <w:sz w:val="20"/>
          <w:szCs w:val="20"/>
        </w:rPr>
        <w:t>, pentru a atenua aprecierea termenilor comerțului</w:t>
      </w:r>
      <w:r w:rsidR="00C04CC7">
        <w:rPr>
          <w:sz w:val="20"/>
          <w:szCs w:val="20"/>
        </w:rPr>
        <w:t xml:space="preserve"> în țara gazdă</w:t>
      </w:r>
      <w:r w:rsidR="008E5261">
        <w:rPr>
          <w:sz w:val="20"/>
          <w:szCs w:val="20"/>
        </w:rPr>
        <w:t xml:space="preserve">, </w:t>
      </w:r>
      <w:r w:rsidR="00C04CC7">
        <w:rPr>
          <w:sz w:val="20"/>
          <w:szCs w:val="20"/>
        </w:rPr>
        <w:t xml:space="preserve">apreciere </w:t>
      </w:r>
      <w:r w:rsidR="008E5261">
        <w:rPr>
          <w:sz w:val="20"/>
          <w:szCs w:val="20"/>
        </w:rPr>
        <w:t xml:space="preserve">care amplifică șocul. </w:t>
      </w:r>
      <w:r>
        <w:rPr>
          <w:sz w:val="20"/>
          <w:szCs w:val="20"/>
        </w:rPr>
        <w:t xml:space="preserve">În opinia mea, agreerea acordurilor pentru astfel de coordonări ale politicilor fiscale și monetare </w:t>
      </w:r>
      <w:r w:rsidR="009D43DD">
        <w:rPr>
          <w:sz w:val="20"/>
          <w:szCs w:val="20"/>
        </w:rPr>
        <w:t>este</w:t>
      </w:r>
      <w:r w:rsidR="00ED31D4">
        <w:rPr>
          <w:sz w:val="20"/>
          <w:szCs w:val="20"/>
        </w:rPr>
        <w:t xml:space="preserve"> extrem de</w:t>
      </w:r>
      <w:r>
        <w:rPr>
          <w:sz w:val="20"/>
          <w:szCs w:val="20"/>
        </w:rPr>
        <w:t xml:space="preserve"> dificilă.   </w:t>
      </w:r>
    </w:p>
    <w:p w:rsidR="00374390" w:rsidRDefault="00374390" w:rsidP="00374390">
      <w:pPr>
        <w:pStyle w:val="FootnoteText"/>
      </w:pPr>
    </w:p>
  </w:footnote>
  <w:footnote w:id="9">
    <w:p w:rsidR="0021548F" w:rsidRDefault="0021548F">
      <w:pPr>
        <w:pStyle w:val="FootnoteText"/>
      </w:pPr>
      <w:r>
        <w:rPr>
          <w:rStyle w:val="FootnoteReference"/>
        </w:rPr>
        <w:footnoteRef/>
      </w:r>
      <w:r>
        <w:t xml:space="preserve"> De aici se vede că cumpărările pe scară largă</w:t>
      </w:r>
      <w:r w:rsidR="00010EE5">
        <w:t>de către banca centrală a</w:t>
      </w:r>
      <w:r>
        <w:t xml:space="preserve"> bonduri</w:t>
      </w:r>
      <w:r w:rsidR="00010EE5">
        <w:t>lor</w:t>
      </w:r>
      <w:r>
        <w:t xml:space="preserve"> givernamentale cu scadențe lungi</w:t>
      </w:r>
      <w:r w:rsidR="00010EE5">
        <w:t xml:space="preserve"> are efect</w:t>
      </w:r>
      <w:r w:rsidR="00FF6525">
        <w:t>e</w:t>
      </w:r>
      <w:r w:rsidR="00010EE5">
        <w:t xml:space="preserve"> redistributiv</w:t>
      </w:r>
      <w:r w:rsidR="00FF6525">
        <w:t>e puternice, nefiind sustenabile</w:t>
      </w:r>
      <w:r w:rsidR="00010EE5">
        <w:t xml:space="preserve">. Cumpărările pe scară largă reduc veniturile din cupon și cresc veniturile din prețul bondurilor. Invers, când cumpărările pe scară largă vor fi </w:t>
      </w:r>
      <w:r w:rsidR="00FF6525">
        <w:t xml:space="preserve">stopate </w:t>
      </w:r>
      <w:r w:rsidR="00010EE5">
        <w:t xml:space="preserve">sau inversate, vor crește veniturile din cupon și vor scădea veniturile rezultate din reducerea prețurilor. </w:t>
      </w:r>
    </w:p>
  </w:footnote>
  <w:footnote w:id="10">
    <w:p w:rsidR="004C36C2" w:rsidRDefault="004C36C2">
      <w:pPr>
        <w:pStyle w:val="FootnoteText"/>
      </w:pPr>
      <w:r>
        <w:rPr>
          <w:rStyle w:val="FootnoteReference"/>
        </w:rPr>
        <w:footnoteRef/>
      </w:r>
      <w:r>
        <w:t xml:space="preserve"> Deținerea titlurilor cu maturități relativ lungi nu este o practică </w:t>
      </w:r>
      <w:r w:rsidR="00FF6525">
        <w:t xml:space="preserve">chiar </w:t>
      </w:r>
      <w:r>
        <w:t>neuzuală a unor bănci centrale din țările dezvoltate. De exemplu, Fed-ul deținea înainte de criza din 2008 peste 150 miliarde de dolari în titluri cu maturități de peste 5 ani. Numai în 2009 Fed-ul avea în program să cumpere până la 1,75 triloane de dolari în bilete de trezorerie, bonduri, datorii ale agențiilor guvernamentale și active garantate cu mortgage ale agențiilor</w:t>
      </w:r>
      <w:r w:rsidR="006736AD">
        <w:t>, toate</w:t>
      </w:r>
      <w:r>
        <w:t xml:space="preserve"> cu maturități lungi. </w:t>
      </w:r>
      <w:r w:rsidR="005D1290">
        <w:t xml:space="preserve">Distribuția maturităților rămase la 12decembrie 2012 arată că 51,6 la sută din titlurile de stat în SUA aveau maturități </w:t>
      </w:r>
      <w:r w:rsidR="00FF6525">
        <w:t xml:space="preserve">rămase </w:t>
      </w:r>
      <w:r w:rsidR="005D1290">
        <w:t xml:space="preserve">între 5 și 10 ani, iar 25 la sută din aceste titluri aveau maturități </w:t>
      </w:r>
      <w:r w:rsidR="00FF6525">
        <w:t xml:space="preserve">rămase </w:t>
      </w:r>
      <w:r w:rsidR="005D1290">
        <w:t>de peste 10 ani. Titlurile acoperite cu mortgage aveau maturități rămase de peste 10 ani în proporție de 99,8 la sută.</w:t>
      </w:r>
      <w:r w:rsidR="00FF6525">
        <w:t>La data de 12 decembrie 2012, î</w:t>
      </w:r>
      <w:r w:rsidR="00711B37">
        <w:t>n bilanțul Fed-ului, din totalul titlurilor de trezorerie, datoriilor</w:t>
      </w:r>
      <w:r w:rsidR="00FF6525">
        <w:t xml:space="preserve"> agențiilor guvernamentale și</w:t>
      </w:r>
      <w:r w:rsidR="00711B37">
        <w:t xml:space="preserve"> titlurilor acoperite cu mortgage (MBS), primele dețin 62,2 la sută, următoarele 3 la sută, iar MBS aproximativ 34,8 la sută.</w:t>
      </w:r>
      <w:r w:rsidR="005E5F14">
        <w:t xml:space="preserve"> Valiante (2011) a arătat că ponderea titilurilor guvernamentale deținute de BCE, Fed și Banca Angliei în totalul activelor era în 2011 de 22,9 la sută, de 56,3 la sută și respectiv 87,3 la sută, în timp ce băncile centrale respective dețineau datorie guvernamentală în proporție de 5,5 la sută, 11,3 la sută și respectiv 17,7 la sută din total datorie guvernamentală</w:t>
      </w:r>
      <w:r w:rsidR="00CE533D">
        <w:t xml:space="preserve"> (citat de De Grauwe, 2011)</w:t>
      </w:r>
      <w:r w:rsidR="005E5F14">
        <w:t xml:space="preserve">. </w:t>
      </w:r>
    </w:p>
  </w:footnote>
  <w:footnote w:id="11">
    <w:p w:rsidR="003E11DE" w:rsidRDefault="003E11DE">
      <w:pPr>
        <w:pStyle w:val="FootnoteText"/>
      </w:pPr>
      <w:r>
        <w:rPr>
          <w:rStyle w:val="FootnoteReference"/>
        </w:rPr>
        <w:footnoteRef/>
      </w:r>
      <w:r w:rsidRPr="001C6B98">
        <w:t xml:space="preserve">Recent, </w:t>
      </w:r>
      <w:r w:rsidR="00D91B61" w:rsidRPr="001C6B98">
        <w:t>Stephen Cecchetti</w:t>
      </w:r>
      <w:r w:rsidR="002F4834">
        <w:t xml:space="preserve"> (2012b)</w:t>
      </w:r>
      <w:r w:rsidR="001C6B98" w:rsidRPr="001C6B98">
        <w:t xml:space="preserve">consilier economic și șeful departamentului de monetar și economic de la </w:t>
      </w:r>
      <w:r w:rsidRPr="001C6B98">
        <w:t>B</w:t>
      </w:r>
      <w:r w:rsidR="001C6B98" w:rsidRPr="001C6B98">
        <w:t>ănca</w:t>
      </w:r>
      <w:r w:rsidRPr="001C6B98">
        <w:t xml:space="preserve"> I</w:t>
      </w:r>
      <w:r w:rsidR="001C6B98" w:rsidRPr="001C6B98">
        <w:t>nternațională</w:t>
      </w:r>
      <w:r w:rsidRPr="001C6B98">
        <w:t xml:space="preserve"> a Rglementelor (BIS) a spus că</w:t>
      </w:r>
      <w:r w:rsidR="001C6B98" w:rsidRPr="001C6B98">
        <w:t xml:space="preserve"> problema principală cu care se confruntă băncile centrale este aceea că “Pe măsură ce li se acordă mai multe responsabilități</w:t>
      </w:r>
      <w:r w:rsidR="00B51E00">
        <w:t>, ele pot ajunge să aibă mai pațină</w:t>
      </w:r>
      <w:r w:rsidR="001C6B98" w:rsidRPr="001C6B98">
        <w:t xml:space="preserve"> independență” (</w:t>
      </w:r>
      <w:r w:rsidR="00B51E00">
        <w:t>citat în raportul</w:t>
      </w:r>
      <w:r w:rsidR="001C6B98">
        <w:t xml:space="preserve"> EYGM Limited și OMFIF Limited,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717A36"/>
    <w:multiLevelType w:val="hybridMultilevel"/>
    <w:tmpl w:val="1DF6A8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3E211C"/>
    <w:multiLevelType w:val="hybridMultilevel"/>
    <w:tmpl w:val="0B889D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663A038C"/>
    <w:multiLevelType w:val="hybridMultilevel"/>
    <w:tmpl w:val="06C05E4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766C504B"/>
    <w:multiLevelType w:val="hybridMultilevel"/>
    <w:tmpl w:val="0B889D8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10FA8"/>
    <w:rsid w:val="00000546"/>
    <w:rsid w:val="00005FD9"/>
    <w:rsid w:val="00007D5B"/>
    <w:rsid w:val="00010EE5"/>
    <w:rsid w:val="0002204B"/>
    <w:rsid w:val="00031197"/>
    <w:rsid w:val="00043E21"/>
    <w:rsid w:val="00046A5B"/>
    <w:rsid w:val="00047320"/>
    <w:rsid w:val="00052234"/>
    <w:rsid w:val="00057E8C"/>
    <w:rsid w:val="00064E6D"/>
    <w:rsid w:val="00075BE9"/>
    <w:rsid w:val="000773F8"/>
    <w:rsid w:val="00080906"/>
    <w:rsid w:val="00083B60"/>
    <w:rsid w:val="00086A5D"/>
    <w:rsid w:val="0009359E"/>
    <w:rsid w:val="000A101E"/>
    <w:rsid w:val="000A2B48"/>
    <w:rsid w:val="000A5CF0"/>
    <w:rsid w:val="000A7971"/>
    <w:rsid w:val="000B3FB1"/>
    <w:rsid w:val="000B5DEB"/>
    <w:rsid w:val="000B6305"/>
    <w:rsid w:val="000C3BF4"/>
    <w:rsid w:val="000C6395"/>
    <w:rsid w:val="000D36E9"/>
    <w:rsid w:val="000E42D9"/>
    <w:rsid w:val="000E4407"/>
    <w:rsid w:val="000F6929"/>
    <w:rsid w:val="001224B7"/>
    <w:rsid w:val="001275E0"/>
    <w:rsid w:val="001315F7"/>
    <w:rsid w:val="0013653A"/>
    <w:rsid w:val="001405E0"/>
    <w:rsid w:val="00144323"/>
    <w:rsid w:val="00144D4F"/>
    <w:rsid w:val="00145C46"/>
    <w:rsid w:val="00156152"/>
    <w:rsid w:val="00164D62"/>
    <w:rsid w:val="0018000B"/>
    <w:rsid w:val="001803DB"/>
    <w:rsid w:val="00182C1E"/>
    <w:rsid w:val="00190BD3"/>
    <w:rsid w:val="00195213"/>
    <w:rsid w:val="001B1F13"/>
    <w:rsid w:val="001B2F10"/>
    <w:rsid w:val="001B3030"/>
    <w:rsid w:val="001B364B"/>
    <w:rsid w:val="001C2A8F"/>
    <w:rsid w:val="001C6B98"/>
    <w:rsid w:val="001E142E"/>
    <w:rsid w:val="001E54CA"/>
    <w:rsid w:val="001E6EC2"/>
    <w:rsid w:val="001F1F32"/>
    <w:rsid w:val="001F2E68"/>
    <w:rsid w:val="00200E2B"/>
    <w:rsid w:val="0021548F"/>
    <w:rsid w:val="0022614D"/>
    <w:rsid w:val="00226AAE"/>
    <w:rsid w:val="00233F1C"/>
    <w:rsid w:val="00234644"/>
    <w:rsid w:val="002354B6"/>
    <w:rsid w:val="00236377"/>
    <w:rsid w:val="00251187"/>
    <w:rsid w:val="00273D02"/>
    <w:rsid w:val="0027553E"/>
    <w:rsid w:val="002807C7"/>
    <w:rsid w:val="002844A1"/>
    <w:rsid w:val="00284F2F"/>
    <w:rsid w:val="00286140"/>
    <w:rsid w:val="00291671"/>
    <w:rsid w:val="00294B8B"/>
    <w:rsid w:val="002970AE"/>
    <w:rsid w:val="002B48AD"/>
    <w:rsid w:val="002C6157"/>
    <w:rsid w:val="002C6452"/>
    <w:rsid w:val="002D05E7"/>
    <w:rsid w:val="002D20E4"/>
    <w:rsid w:val="002D2B2E"/>
    <w:rsid w:val="002D49C0"/>
    <w:rsid w:val="002D6796"/>
    <w:rsid w:val="002D7367"/>
    <w:rsid w:val="002F4834"/>
    <w:rsid w:val="002F6CAB"/>
    <w:rsid w:val="0030702A"/>
    <w:rsid w:val="003169F6"/>
    <w:rsid w:val="00320F5A"/>
    <w:rsid w:val="00321396"/>
    <w:rsid w:val="00323016"/>
    <w:rsid w:val="0032309A"/>
    <w:rsid w:val="00323F25"/>
    <w:rsid w:val="00325F1C"/>
    <w:rsid w:val="00327321"/>
    <w:rsid w:val="00330255"/>
    <w:rsid w:val="00332E4C"/>
    <w:rsid w:val="00332F31"/>
    <w:rsid w:val="003374E6"/>
    <w:rsid w:val="003412C2"/>
    <w:rsid w:val="00344890"/>
    <w:rsid w:val="00354221"/>
    <w:rsid w:val="003602B1"/>
    <w:rsid w:val="003648E7"/>
    <w:rsid w:val="003711E2"/>
    <w:rsid w:val="00374390"/>
    <w:rsid w:val="0037447B"/>
    <w:rsid w:val="00392D80"/>
    <w:rsid w:val="00396B4D"/>
    <w:rsid w:val="003A2043"/>
    <w:rsid w:val="003A260F"/>
    <w:rsid w:val="003A314B"/>
    <w:rsid w:val="003A5844"/>
    <w:rsid w:val="003B3039"/>
    <w:rsid w:val="003B33C2"/>
    <w:rsid w:val="003B5E2A"/>
    <w:rsid w:val="003B64BE"/>
    <w:rsid w:val="003B671B"/>
    <w:rsid w:val="003B6C9A"/>
    <w:rsid w:val="003B7834"/>
    <w:rsid w:val="003B7BD8"/>
    <w:rsid w:val="003C2706"/>
    <w:rsid w:val="003C345C"/>
    <w:rsid w:val="003C6540"/>
    <w:rsid w:val="003C6D4E"/>
    <w:rsid w:val="003D08B9"/>
    <w:rsid w:val="003D679B"/>
    <w:rsid w:val="003E11DE"/>
    <w:rsid w:val="003E5FD1"/>
    <w:rsid w:val="004000EF"/>
    <w:rsid w:val="00403F3B"/>
    <w:rsid w:val="004075D3"/>
    <w:rsid w:val="004109B4"/>
    <w:rsid w:val="00412450"/>
    <w:rsid w:val="004227FD"/>
    <w:rsid w:val="00424D12"/>
    <w:rsid w:val="004257D3"/>
    <w:rsid w:val="00430C8F"/>
    <w:rsid w:val="0044062D"/>
    <w:rsid w:val="00440FEA"/>
    <w:rsid w:val="00444BE4"/>
    <w:rsid w:val="00444F86"/>
    <w:rsid w:val="0044607D"/>
    <w:rsid w:val="00451130"/>
    <w:rsid w:val="00451EEF"/>
    <w:rsid w:val="004619A8"/>
    <w:rsid w:val="0046442F"/>
    <w:rsid w:val="0047424F"/>
    <w:rsid w:val="0047710E"/>
    <w:rsid w:val="00481373"/>
    <w:rsid w:val="00483D8B"/>
    <w:rsid w:val="0048754B"/>
    <w:rsid w:val="004970B8"/>
    <w:rsid w:val="004A6FA6"/>
    <w:rsid w:val="004B371F"/>
    <w:rsid w:val="004C262E"/>
    <w:rsid w:val="004C36C2"/>
    <w:rsid w:val="004C7C2A"/>
    <w:rsid w:val="004D0E74"/>
    <w:rsid w:val="004D48BB"/>
    <w:rsid w:val="004D674F"/>
    <w:rsid w:val="005017AD"/>
    <w:rsid w:val="005053E1"/>
    <w:rsid w:val="00506E07"/>
    <w:rsid w:val="00513F80"/>
    <w:rsid w:val="00516262"/>
    <w:rsid w:val="00516CD9"/>
    <w:rsid w:val="005212AD"/>
    <w:rsid w:val="00522DAF"/>
    <w:rsid w:val="005244E5"/>
    <w:rsid w:val="005347F5"/>
    <w:rsid w:val="00534EC6"/>
    <w:rsid w:val="00537DF7"/>
    <w:rsid w:val="005428B0"/>
    <w:rsid w:val="00545D4B"/>
    <w:rsid w:val="00547F42"/>
    <w:rsid w:val="00555859"/>
    <w:rsid w:val="00555B30"/>
    <w:rsid w:val="00556FF7"/>
    <w:rsid w:val="00565C99"/>
    <w:rsid w:val="005661E7"/>
    <w:rsid w:val="0056677D"/>
    <w:rsid w:val="00572A64"/>
    <w:rsid w:val="00576176"/>
    <w:rsid w:val="00577A57"/>
    <w:rsid w:val="00581301"/>
    <w:rsid w:val="00584C13"/>
    <w:rsid w:val="005857A6"/>
    <w:rsid w:val="005B767D"/>
    <w:rsid w:val="005D1290"/>
    <w:rsid w:val="005D7E0F"/>
    <w:rsid w:val="005E59D9"/>
    <w:rsid w:val="005E5F14"/>
    <w:rsid w:val="005E7204"/>
    <w:rsid w:val="00600B4E"/>
    <w:rsid w:val="0060358D"/>
    <w:rsid w:val="00603621"/>
    <w:rsid w:val="0060604F"/>
    <w:rsid w:val="00610FA8"/>
    <w:rsid w:val="00613ED7"/>
    <w:rsid w:val="006160F8"/>
    <w:rsid w:val="00621BA8"/>
    <w:rsid w:val="00623285"/>
    <w:rsid w:val="0062379F"/>
    <w:rsid w:val="00624808"/>
    <w:rsid w:val="00625414"/>
    <w:rsid w:val="00625A64"/>
    <w:rsid w:val="006318E3"/>
    <w:rsid w:val="00634D63"/>
    <w:rsid w:val="0064253F"/>
    <w:rsid w:val="00642EC9"/>
    <w:rsid w:val="00653414"/>
    <w:rsid w:val="006541D7"/>
    <w:rsid w:val="0065505C"/>
    <w:rsid w:val="00657BE6"/>
    <w:rsid w:val="006736AD"/>
    <w:rsid w:val="006746C3"/>
    <w:rsid w:val="00683290"/>
    <w:rsid w:val="00697ABE"/>
    <w:rsid w:val="006A735A"/>
    <w:rsid w:val="006A75BE"/>
    <w:rsid w:val="006A77A8"/>
    <w:rsid w:val="006B11BE"/>
    <w:rsid w:val="006B7A10"/>
    <w:rsid w:val="006C2DC2"/>
    <w:rsid w:val="006C4EDE"/>
    <w:rsid w:val="006C6E21"/>
    <w:rsid w:val="006C7DF4"/>
    <w:rsid w:val="006D3B51"/>
    <w:rsid w:val="006E1599"/>
    <w:rsid w:val="006F037D"/>
    <w:rsid w:val="006F08F8"/>
    <w:rsid w:val="006F0E35"/>
    <w:rsid w:val="006F34B0"/>
    <w:rsid w:val="006F512C"/>
    <w:rsid w:val="007049DF"/>
    <w:rsid w:val="007109AF"/>
    <w:rsid w:val="00711B37"/>
    <w:rsid w:val="00712308"/>
    <w:rsid w:val="007146A4"/>
    <w:rsid w:val="007163B3"/>
    <w:rsid w:val="007267E1"/>
    <w:rsid w:val="00736DEC"/>
    <w:rsid w:val="007376B8"/>
    <w:rsid w:val="00740741"/>
    <w:rsid w:val="00741623"/>
    <w:rsid w:val="007445E0"/>
    <w:rsid w:val="0074554B"/>
    <w:rsid w:val="007459D9"/>
    <w:rsid w:val="00746B15"/>
    <w:rsid w:val="00761D82"/>
    <w:rsid w:val="0076550C"/>
    <w:rsid w:val="00772CF7"/>
    <w:rsid w:val="007756DA"/>
    <w:rsid w:val="00775B5A"/>
    <w:rsid w:val="00776148"/>
    <w:rsid w:val="00777707"/>
    <w:rsid w:val="007957D7"/>
    <w:rsid w:val="007A1CD3"/>
    <w:rsid w:val="007B2DA1"/>
    <w:rsid w:val="007B5326"/>
    <w:rsid w:val="007C0C19"/>
    <w:rsid w:val="007C124F"/>
    <w:rsid w:val="007D18CF"/>
    <w:rsid w:val="007E6637"/>
    <w:rsid w:val="00812F3F"/>
    <w:rsid w:val="008205DD"/>
    <w:rsid w:val="00824BBD"/>
    <w:rsid w:val="00826455"/>
    <w:rsid w:val="0084027B"/>
    <w:rsid w:val="00841D53"/>
    <w:rsid w:val="008530FF"/>
    <w:rsid w:val="00857D77"/>
    <w:rsid w:val="00860F05"/>
    <w:rsid w:val="0086602D"/>
    <w:rsid w:val="008708DE"/>
    <w:rsid w:val="0087251F"/>
    <w:rsid w:val="00874213"/>
    <w:rsid w:val="00877E12"/>
    <w:rsid w:val="00882A1C"/>
    <w:rsid w:val="00885622"/>
    <w:rsid w:val="00885A48"/>
    <w:rsid w:val="008B1272"/>
    <w:rsid w:val="008B7075"/>
    <w:rsid w:val="008B7906"/>
    <w:rsid w:val="008D2FB0"/>
    <w:rsid w:val="008D4D7F"/>
    <w:rsid w:val="008D76DF"/>
    <w:rsid w:val="008E1836"/>
    <w:rsid w:val="008E18AA"/>
    <w:rsid w:val="008E1D8C"/>
    <w:rsid w:val="008E374E"/>
    <w:rsid w:val="008E5261"/>
    <w:rsid w:val="008F640F"/>
    <w:rsid w:val="008F6770"/>
    <w:rsid w:val="008F6DAA"/>
    <w:rsid w:val="008F7DCB"/>
    <w:rsid w:val="00901431"/>
    <w:rsid w:val="00911F77"/>
    <w:rsid w:val="00921D64"/>
    <w:rsid w:val="00922790"/>
    <w:rsid w:val="00930B70"/>
    <w:rsid w:val="0093633E"/>
    <w:rsid w:val="009401FA"/>
    <w:rsid w:val="00942A7A"/>
    <w:rsid w:val="00947733"/>
    <w:rsid w:val="009516C8"/>
    <w:rsid w:val="00951B22"/>
    <w:rsid w:val="00955B70"/>
    <w:rsid w:val="00971786"/>
    <w:rsid w:val="00972710"/>
    <w:rsid w:val="00977FC2"/>
    <w:rsid w:val="00981E71"/>
    <w:rsid w:val="0098377E"/>
    <w:rsid w:val="009867BB"/>
    <w:rsid w:val="009925C0"/>
    <w:rsid w:val="009A107C"/>
    <w:rsid w:val="009B3D82"/>
    <w:rsid w:val="009C2250"/>
    <w:rsid w:val="009C2B5E"/>
    <w:rsid w:val="009C343F"/>
    <w:rsid w:val="009C6559"/>
    <w:rsid w:val="009D43DD"/>
    <w:rsid w:val="009E1E9E"/>
    <w:rsid w:val="009E4542"/>
    <w:rsid w:val="009F3321"/>
    <w:rsid w:val="00A02899"/>
    <w:rsid w:val="00A1027F"/>
    <w:rsid w:val="00A11C5C"/>
    <w:rsid w:val="00A11C7D"/>
    <w:rsid w:val="00A1265D"/>
    <w:rsid w:val="00A20396"/>
    <w:rsid w:val="00A231DA"/>
    <w:rsid w:val="00A3737E"/>
    <w:rsid w:val="00A37D77"/>
    <w:rsid w:val="00A412BC"/>
    <w:rsid w:val="00A41C20"/>
    <w:rsid w:val="00A44151"/>
    <w:rsid w:val="00A44AF6"/>
    <w:rsid w:val="00A450B3"/>
    <w:rsid w:val="00A47D8D"/>
    <w:rsid w:val="00A51F34"/>
    <w:rsid w:val="00A53C6B"/>
    <w:rsid w:val="00A543C3"/>
    <w:rsid w:val="00A573A4"/>
    <w:rsid w:val="00A64014"/>
    <w:rsid w:val="00A65C48"/>
    <w:rsid w:val="00A746C7"/>
    <w:rsid w:val="00A82D96"/>
    <w:rsid w:val="00A902BB"/>
    <w:rsid w:val="00A90757"/>
    <w:rsid w:val="00A91436"/>
    <w:rsid w:val="00AA086C"/>
    <w:rsid w:val="00AA435B"/>
    <w:rsid w:val="00AB6B4D"/>
    <w:rsid w:val="00AB6E36"/>
    <w:rsid w:val="00AD4449"/>
    <w:rsid w:val="00AE24FA"/>
    <w:rsid w:val="00AE4ACD"/>
    <w:rsid w:val="00B027C7"/>
    <w:rsid w:val="00B06014"/>
    <w:rsid w:val="00B107BF"/>
    <w:rsid w:val="00B2104E"/>
    <w:rsid w:val="00B221E3"/>
    <w:rsid w:val="00B27AE7"/>
    <w:rsid w:val="00B362F6"/>
    <w:rsid w:val="00B40882"/>
    <w:rsid w:val="00B42AC4"/>
    <w:rsid w:val="00B45729"/>
    <w:rsid w:val="00B45D03"/>
    <w:rsid w:val="00B4722C"/>
    <w:rsid w:val="00B51B03"/>
    <w:rsid w:val="00B51E00"/>
    <w:rsid w:val="00B53B52"/>
    <w:rsid w:val="00B54227"/>
    <w:rsid w:val="00B62465"/>
    <w:rsid w:val="00B66300"/>
    <w:rsid w:val="00B67CCB"/>
    <w:rsid w:val="00B67E6E"/>
    <w:rsid w:val="00B739C1"/>
    <w:rsid w:val="00B75101"/>
    <w:rsid w:val="00B768EA"/>
    <w:rsid w:val="00B808DC"/>
    <w:rsid w:val="00B85EB5"/>
    <w:rsid w:val="00B90EC7"/>
    <w:rsid w:val="00B911A1"/>
    <w:rsid w:val="00B94FFC"/>
    <w:rsid w:val="00B9784D"/>
    <w:rsid w:val="00BA16D9"/>
    <w:rsid w:val="00BA2ACB"/>
    <w:rsid w:val="00BA619C"/>
    <w:rsid w:val="00BA766C"/>
    <w:rsid w:val="00BB0153"/>
    <w:rsid w:val="00BB2202"/>
    <w:rsid w:val="00BB6516"/>
    <w:rsid w:val="00BE324D"/>
    <w:rsid w:val="00BE408C"/>
    <w:rsid w:val="00BF614F"/>
    <w:rsid w:val="00C04CC7"/>
    <w:rsid w:val="00C07D32"/>
    <w:rsid w:val="00C07FBB"/>
    <w:rsid w:val="00C14E22"/>
    <w:rsid w:val="00C15B45"/>
    <w:rsid w:val="00C160D8"/>
    <w:rsid w:val="00C1769C"/>
    <w:rsid w:val="00C177D3"/>
    <w:rsid w:val="00C25824"/>
    <w:rsid w:val="00C32E9D"/>
    <w:rsid w:val="00C33A80"/>
    <w:rsid w:val="00C36491"/>
    <w:rsid w:val="00C40648"/>
    <w:rsid w:val="00C45561"/>
    <w:rsid w:val="00C46AAF"/>
    <w:rsid w:val="00C52FAF"/>
    <w:rsid w:val="00C54750"/>
    <w:rsid w:val="00C55407"/>
    <w:rsid w:val="00C56D8A"/>
    <w:rsid w:val="00C616F0"/>
    <w:rsid w:val="00C62269"/>
    <w:rsid w:val="00C72DE0"/>
    <w:rsid w:val="00C76770"/>
    <w:rsid w:val="00C83E5E"/>
    <w:rsid w:val="00C84301"/>
    <w:rsid w:val="00C86529"/>
    <w:rsid w:val="00C86EBD"/>
    <w:rsid w:val="00C87A6A"/>
    <w:rsid w:val="00C9281A"/>
    <w:rsid w:val="00C97A7A"/>
    <w:rsid w:val="00CA33DE"/>
    <w:rsid w:val="00CA437D"/>
    <w:rsid w:val="00CA6A75"/>
    <w:rsid w:val="00CB0894"/>
    <w:rsid w:val="00CB10FC"/>
    <w:rsid w:val="00CB1149"/>
    <w:rsid w:val="00CB1A74"/>
    <w:rsid w:val="00CB659E"/>
    <w:rsid w:val="00CC0C4A"/>
    <w:rsid w:val="00CC0D4E"/>
    <w:rsid w:val="00CC2B19"/>
    <w:rsid w:val="00CC2DB7"/>
    <w:rsid w:val="00CC2FD6"/>
    <w:rsid w:val="00CC43D4"/>
    <w:rsid w:val="00CC5B53"/>
    <w:rsid w:val="00CD19B4"/>
    <w:rsid w:val="00CD32B6"/>
    <w:rsid w:val="00CE11E6"/>
    <w:rsid w:val="00CE1DE5"/>
    <w:rsid w:val="00CE4B10"/>
    <w:rsid w:val="00CE533D"/>
    <w:rsid w:val="00CF0370"/>
    <w:rsid w:val="00CF2252"/>
    <w:rsid w:val="00CF423A"/>
    <w:rsid w:val="00CF49DF"/>
    <w:rsid w:val="00D05C54"/>
    <w:rsid w:val="00D138C9"/>
    <w:rsid w:val="00D14595"/>
    <w:rsid w:val="00D16624"/>
    <w:rsid w:val="00D17361"/>
    <w:rsid w:val="00D26CFE"/>
    <w:rsid w:val="00D339D5"/>
    <w:rsid w:val="00D51424"/>
    <w:rsid w:val="00D56051"/>
    <w:rsid w:val="00D6055C"/>
    <w:rsid w:val="00D614BD"/>
    <w:rsid w:val="00D64580"/>
    <w:rsid w:val="00D64D6F"/>
    <w:rsid w:val="00D65111"/>
    <w:rsid w:val="00D70DFA"/>
    <w:rsid w:val="00D74E5D"/>
    <w:rsid w:val="00D80317"/>
    <w:rsid w:val="00D84627"/>
    <w:rsid w:val="00D8524C"/>
    <w:rsid w:val="00D90A4C"/>
    <w:rsid w:val="00D91B61"/>
    <w:rsid w:val="00D936F0"/>
    <w:rsid w:val="00D95E3F"/>
    <w:rsid w:val="00DA58AE"/>
    <w:rsid w:val="00DB3825"/>
    <w:rsid w:val="00DB5883"/>
    <w:rsid w:val="00DB6093"/>
    <w:rsid w:val="00DD0271"/>
    <w:rsid w:val="00DE2E7A"/>
    <w:rsid w:val="00DE7E2E"/>
    <w:rsid w:val="00DF1297"/>
    <w:rsid w:val="00DF4011"/>
    <w:rsid w:val="00DF6DBF"/>
    <w:rsid w:val="00E150F7"/>
    <w:rsid w:val="00E31C32"/>
    <w:rsid w:val="00E32B82"/>
    <w:rsid w:val="00E347E0"/>
    <w:rsid w:val="00E37B4E"/>
    <w:rsid w:val="00E43B3E"/>
    <w:rsid w:val="00E454F3"/>
    <w:rsid w:val="00E45A6D"/>
    <w:rsid w:val="00E5046F"/>
    <w:rsid w:val="00E53C9F"/>
    <w:rsid w:val="00E64C5A"/>
    <w:rsid w:val="00E67EF7"/>
    <w:rsid w:val="00E75756"/>
    <w:rsid w:val="00E8472B"/>
    <w:rsid w:val="00E855D8"/>
    <w:rsid w:val="00E87BA0"/>
    <w:rsid w:val="00E905EB"/>
    <w:rsid w:val="00E91EB5"/>
    <w:rsid w:val="00E92BA6"/>
    <w:rsid w:val="00E973F9"/>
    <w:rsid w:val="00E97856"/>
    <w:rsid w:val="00EA27F6"/>
    <w:rsid w:val="00EB2A96"/>
    <w:rsid w:val="00EC3F61"/>
    <w:rsid w:val="00EC6F87"/>
    <w:rsid w:val="00ED0901"/>
    <w:rsid w:val="00ED31D4"/>
    <w:rsid w:val="00ED5F22"/>
    <w:rsid w:val="00EF05D8"/>
    <w:rsid w:val="00EF5D8E"/>
    <w:rsid w:val="00F01F6D"/>
    <w:rsid w:val="00F07DCD"/>
    <w:rsid w:val="00F1083C"/>
    <w:rsid w:val="00F24948"/>
    <w:rsid w:val="00F261CB"/>
    <w:rsid w:val="00F43664"/>
    <w:rsid w:val="00F4370E"/>
    <w:rsid w:val="00F472C3"/>
    <w:rsid w:val="00F61E40"/>
    <w:rsid w:val="00F62C3D"/>
    <w:rsid w:val="00F65C0E"/>
    <w:rsid w:val="00F90580"/>
    <w:rsid w:val="00FA6D9E"/>
    <w:rsid w:val="00FB6E39"/>
    <w:rsid w:val="00FC1855"/>
    <w:rsid w:val="00FC6A88"/>
    <w:rsid w:val="00FD19E5"/>
    <w:rsid w:val="00FD1C69"/>
    <w:rsid w:val="00FD4B7A"/>
    <w:rsid w:val="00FD6F8F"/>
    <w:rsid w:val="00FD7771"/>
    <w:rsid w:val="00FE22E7"/>
    <w:rsid w:val="00FE5910"/>
    <w:rsid w:val="00FF34BD"/>
    <w:rsid w:val="00FF3D9E"/>
    <w:rsid w:val="00FF6525"/>
    <w:rsid w:val="00FF6E7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8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11"/>
    <w:pPr>
      <w:ind w:left="720"/>
      <w:contextualSpacing/>
    </w:pPr>
    <w:rPr>
      <w:rFonts w:cstheme="minorBidi"/>
      <w:sz w:val="22"/>
      <w:lang w:val="en-US"/>
    </w:rPr>
  </w:style>
  <w:style w:type="paragraph" w:styleId="Header">
    <w:name w:val="header"/>
    <w:basedOn w:val="Normal"/>
    <w:link w:val="HeaderChar"/>
    <w:uiPriority w:val="99"/>
    <w:unhideWhenUsed/>
    <w:rsid w:val="00857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D77"/>
  </w:style>
  <w:style w:type="paragraph" w:styleId="Footer">
    <w:name w:val="footer"/>
    <w:basedOn w:val="Normal"/>
    <w:link w:val="FooterChar"/>
    <w:uiPriority w:val="99"/>
    <w:unhideWhenUsed/>
    <w:rsid w:val="00857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D77"/>
  </w:style>
  <w:style w:type="paragraph" w:styleId="FootnoteText">
    <w:name w:val="footnote text"/>
    <w:basedOn w:val="Normal"/>
    <w:link w:val="FootnoteTextChar"/>
    <w:uiPriority w:val="99"/>
    <w:semiHidden/>
    <w:unhideWhenUsed/>
    <w:rsid w:val="00716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3B3"/>
    <w:rPr>
      <w:sz w:val="20"/>
      <w:szCs w:val="20"/>
    </w:rPr>
  </w:style>
  <w:style w:type="character" w:styleId="FootnoteReference">
    <w:name w:val="footnote reference"/>
    <w:basedOn w:val="DefaultParagraphFont"/>
    <w:uiPriority w:val="99"/>
    <w:semiHidden/>
    <w:unhideWhenUsed/>
    <w:rsid w:val="007163B3"/>
    <w:rPr>
      <w:vertAlign w:val="superscript"/>
    </w:rPr>
  </w:style>
  <w:style w:type="paragraph" w:styleId="BalloonText">
    <w:name w:val="Balloon Text"/>
    <w:basedOn w:val="Normal"/>
    <w:link w:val="BalloonTextChar"/>
    <w:uiPriority w:val="99"/>
    <w:semiHidden/>
    <w:unhideWhenUsed/>
    <w:rsid w:val="00FD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7A"/>
    <w:rPr>
      <w:rFonts w:ascii="Tahoma" w:hAnsi="Tahoma" w:cs="Tahoma"/>
      <w:sz w:val="16"/>
      <w:szCs w:val="16"/>
    </w:rPr>
  </w:style>
  <w:style w:type="paragraph" w:styleId="CommentText">
    <w:name w:val="annotation text"/>
    <w:basedOn w:val="Normal"/>
    <w:link w:val="CommentTextChar"/>
    <w:uiPriority w:val="99"/>
    <w:unhideWhenUsed/>
    <w:rsid w:val="00AE4ACD"/>
    <w:pPr>
      <w:spacing w:line="240" w:lineRule="auto"/>
    </w:pPr>
    <w:rPr>
      <w:sz w:val="20"/>
      <w:szCs w:val="20"/>
    </w:rPr>
  </w:style>
  <w:style w:type="character" w:customStyle="1" w:styleId="CommentTextChar">
    <w:name w:val="Comment Text Char"/>
    <w:basedOn w:val="DefaultParagraphFont"/>
    <w:link w:val="CommentText"/>
    <w:uiPriority w:val="99"/>
    <w:rsid w:val="00AE4ACD"/>
    <w:rPr>
      <w:sz w:val="20"/>
      <w:szCs w:val="20"/>
    </w:rPr>
  </w:style>
  <w:style w:type="paragraph" w:styleId="Subtitle">
    <w:name w:val="Subtitle"/>
    <w:basedOn w:val="Normal"/>
    <w:next w:val="Normal"/>
    <w:link w:val="SubtitleChar"/>
    <w:uiPriority w:val="11"/>
    <w:qFormat/>
    <w:rsid w:val="007455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4554B"/>
    <w:rPr>
      <w:rFonts w:asciiTheme="majorHAnsi" w:eastAsiaTheme="majorEastAsia" w:hAnsiTheme="majorHAnsi" w:cstheme="majorBidi"/>
      <w:i/>
      <w:iCs/>
      <w:color w:val="4F81BD" w:themeColor="accent1"/>
      <w:spacing w:val="15"/>
      <w:szCs w:val="24"/>
    </w:rPr>
  </w:style>
  <w:style w:type="paragraph" w:customStyle="1" w:styleId="CarteLC">
    <w:name w:val="Carte LC"/>
    <w:basedOn w:val="Normal"/>
    <w:link w:val="CarteLCChar"/>
    <w:rsid w:val="004C7C2A"/>
    <w:pPr>
      <w:spacing w:line="320" w:lineRule="atLeast"/>
    </w:pPr>
    <w:rPr>
      <w:rFonts w:ascii="Garamond" w:eastAsia="Calibri" w:hAnsi="Garamond"/>
      <w:sz w:val="22"/>
      <w:szCs w:val="20"/>
    </w:rPr>
  </w:style>
  <w:style w:type="character" w:customStyle="1" w:styleId="CarteLCChar">
    <w:name w:val="Carte LC Char"/>
    <w:link w:val="CarteLC"/>
    <w:locked/>
    <w:rsid w:val="004C7C2A"/>
    <w:rPr>
      <w:rFonts w:ascii="Garamond" w:eastAsia="Calibri" w:hAnsi="Garamond"/>
      <w:sz w:val="22"/>
      <w:szCs w:val="20"/>
    </w:rPr>
  </w:style>
  <w:style w:type="character" w:customStyle="1" w:styleId="apple-converted-space">
    <w:name w:val="apple-converted-space"/>
    <w:basedOn w:val="DefaultParagraphFont"/>
    <w:rsid w:val="002C6452"/>
  </w:style>
  <w:style w:type="character" w:styleId="Hyperlink">
    <w:name w:val="Hyperlink"/>
    <w:basedOn w:val="DefaultParagraphFont"/>
    <w:uiPriority w:val="99"/>
    <w:semiHidden/>
    <w:unhideWhenUsed/>
    <w:rsid w:val="002C64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11"/>
    <w:pPr>
      <w:ind w:left="720"/>
      <w:contextualSpacing/>
    </w:pPr>
    <w:rPr>
      <w:rFonts w:cstheme="minorBidi"/>
      <w:sz w:val="22"/>
      <w:lang w:val="en-US"/>
    </w:rPr>
  </w:style>
  <w:style w:type="paragraph" w:styleId="Header">
    <w:name w:val="header"/>
    <w:basedOn w:val="Normal"/>
    <w:link w:val="HeaderChar"/>
    <w:uiPriority w:val="99"/>
    <w:unhideWhenUsed/>
    <w:rsid w:val="00857D7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7D77"/>
  </w:style>
  <w:style w:type="paragraph" w:styleId="Footer">
    <w:name w:val="footer"/>
    <w:basedOn w:val="Normal"/>
    <w:link w:val="FooterChar"/>
    <w:uiPriority w:val="99"/>
    <w:unhideWhenUsed/>
    <w:rsid w:val="00857D77"/>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7D77"/>
  </w:style>
  <w:style w:type="paragraph" w:styleId="FootnoteText">
    <w:name w:val="footnote text"/>
    <w:basedOn w:val="Normal"/>
    <w:link w:val="FootnoteTextChar"/>
    <w:uiPriority w:val="99"/>
    <w:semiHidden/>
    <w:unhideWhenUsed/>
    <w:rsid w:val="00716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63B3"/>
    <w:rPr>
      <w:sz w:val="20"/>
      <w:szCs w:val="20"/>
    </w:rPr>
  </w:style>
  <w:style w:type="character" w:styleId="FootnoteReference">
    <w:name w:val="footnote reference"/>
    <w:basedOn w:val="DefaultParagraphFont"/>
    <w:uiPriority w:val="99"/>
    <w:semiHidden/>
    <w:unhideWhenUsed/>
    <w:rsid w:val="007163B3"/>
    <w:rPr>
      <w:vertAlign w:val="superscript"/>
    </w:rPr>
  </w:style>
  <w:style w:type="paragraph" w:styleId="BalloonText">
    <w:name w:val="Balloon Text"/>
    <w:basedOn w:val="Normal"/>
    <w:link w:val="BalloonTextChar"/>
    <w:uiPriority w:val="99"/>
    <w:semiHidden/>
    <w:unhideWhenUsed/>
    <w:rsid w:val="00FD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7A"/>
    <w:rPr>
      <w:rFonts w:ascii="Tahoma" w:hAnsi="Tahoma" w:cs="Tahoma"/>
      <w:sz w:val="16"/>
      <w:szCs w:val="16"/>
    </w:rPr>
  </w:style>
  <w:style w:type="paragraph" w:styleId="CommentText">
    <w:name w:val="annotation text"/>
    <w:basedOn w:val="Normal"/>
    <w:link w:val="CommentTextChar"/>
    <w:uiPriority w:val="99"/>
    <w:unhideWhenUsed/>
    <w:rsid w:val="00AE4ACD"/>
    <w:pPr>
      <w:spacing w:line="240" w:lineRule="auto"/>
    </w:pPr>
    <w:rPr>
      <w:sz w:val="20"/>
      <w:szCs w:val="20"/>
    </w:rPr>
  </w:style>
  <w:style w:type="character" w:customStyle="1" w:styleId="CommentTextChar">
    <w:name w:val="Comment Text Char"/>
    <w:basedOn w:val="DefaultParagraphFont"/>
    <w:link w:val="CommentText"/>
    <w:uiPriority w:val="99"/>
    <w:rsid w:val="00AE4ACD"/>
    <w:rPr>
      <w:sz w:val="20"/>
      <w:szCs w:val="20"/>
    </w:rPr>
  </w:style>
  <w:style w:type="paragraph" w:styleId="Subtitle">
    <w:name w:val="Subtitle"/>
    <w:basedOn w:val="Normal"/>
    <w:next w:val="Normal"/>
    <w:link w:val="SubtitleChar"/>
    <w:uiPriority w:val="11"/>
    <w:qFormat/>
    <w:rsid w:val="007455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4554B"/>
    <w:rPr>
      <w:rFonts w:asciiTheme="majorHAnsi" w:eastAsiaTheme="majorEastAsia" w:hAnsiTheme="majorHAnsi" w:cstheme="majorBidi"/>
      <w:i/>
      <w:iCs/>
      <w:color w:val="4F81BD" w:themeColor="accent1"/>
      <w:spacing w:val="15"/>
      <w:szCs w:val="24"/>
    </w:rPr>
  </w:style>
  <w:style w:type="paragraph" w:customStyle="1" w:styleId="CarteLC">
    <w:name w:val="Carte LC"/>
    <w:basedOn w:val="Normal"/>
    <w:link w:val="CarteLCChar"/>
    <w:rsid w:val="004C7C2A"/>
    <w:pPr>
      <w:spacing w:line="320" w:lineRule="atLeast"/>
    </w:pPr>
    <w:rPr>
      <w:rFonts w:ascii="Garamond" w:eastAsia="Calibri" w:hAnsi="Garamond"/>
      <w:sz w:val="22"/>
      <w:szCs w:val="20"/>
    </w:rPr>
  </w:style>
  <w:style w:type="character" w:customStyle="1" w:styleId="CarteLCChar">
    <w:name w:val="Carte LC Char"/>
    <w:link w:val="CarteLC"/>
    <w:locked/>
    <w:rsid w:val="004C7C2A"/>
    <w:rPr>
      <w:rFonts w:ascii="Garamond" w:eastAsia="Calibri" w:hAnsi="Garamond"/>
      <w:sz w:val="22"/>
      <w:szCs w:val="20"/>
    </w:rPr>
  </w:style>
  <w:style w:type="character" w:customStyle="1" w:styleId="apple-converted-space">
    <w:name w:val="apple-converted-space"/>
    <w:basedOn w:val="DefaultParagraphFont"/>
    <w:rsid w:val="002C6452"/>
  </w:style>
  <w:style w:type="character" w:styleId="Hyperlink">
    <w:name w:val="Hyperlink"/>
    <w:basedOn w:val="DefaultParagraphFont"/>
    <w:uiPriority w:val="99"/>
    <w:semiHidden/>
    <w:unhideWhenUsed/>
    <w:rsid w:val="002C6452"/>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4D014-2B24-4CC9-A271-F61842D0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2770</TotalTime>
  <Pages>18</Pages>
  <Words>5432</Words>
  <Characters>31512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 Croitoru</dc:creator>
  <cp:lastModifiedBy>GeorgeICW</cp:lastModifiedBy>
  <cp:revision>136</cp:revision>
  <cp:lastPrinted>2013-01-04T13:08:00Z</cp:lastPrinted>
  <dcterms:created xsi:type="dcterms:W3CDTF">2012-12-10T15:04:00Z</dcterms:created>
  <dcterms:modified xsi:type="dcterms:W3CDTF">2013-01-07T08:23:00Z</dcterms:modified>
</cp:coreProperties>
</file>